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27E7C" w:rsidRPr="00C27E7C" w:rsidRDefault="00C27E7C" w:rsidP="00C27E7C">
      <w:pPr>
        <w:pStyle w:val="ListParagraph"/>
        <w:jc w:val="center"/>
        <w:rPr>
          <w:b/>
          <w:bCs/>
          <w:sz w:val="24"/>
          <w:szCs w:val="24"/>
        </w:rPr>
      </w:pPr>
      <w:r w:rsidRPr="00C27E7C">
        <w:rPr>
          <w:rFonts w:ascii="Book Antiqua" w:hAnsi="Book Antiqua"/>
          <w:b/>
          <w:bCs/>
          <w:noProof/>
          <w:sz w:val="21"/>
          <w:szCs w:val="21"/>
        </w:rPr>
        <w:drawing>
          <wp:anchor distT="0" distB="0" distL="114300" distR="114300" simplePos="0" relativeHeight="251659264" behindDoc="0" locked="0" layoutInCell="1" allowOverlap="1" wp14:anchorId="4E31D1A3" wp14:editId="68443759">
            <wp:simplePos x="0" y="0"/>
            <wp:positionH relativeFrom="column">
              <wp:posOffset>2934547</wp:posOffset>
            </wp:positionH>
            <wp:positionV relativeFrom="paragraph">
              <wp:posOffset>-502285</wp:posOffset>
            </wp:positionV>
            <wp:extent cx="457200" cy="457200"/>
            <wp:effectExtent l="0" t="0" r="0" b="0"/>
            <wp:wrapNone/>
            <wp:docPr id="1893589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589714" name="Picture 18935897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Pr="00C27E7C">
        <w:rPr>
          <w:b/>
          <w:bCs/>
          <w:sz w:val="24"/>
          <w:szCs w:val="24"/>
        </w:rPr>
        <w:t>FONDS D’ASSISTANCE ECONOMIQUE ET SOCIALE (FAES)</w:t>
      </w:r>
    </w:p>
    <w:p w:rsidR="00C27E7C" w:rsidRPr="00C27E7C" w:rsidRDefault="00C27E7C" w:rsidP="00C27E7C">
      <w:pPr>
        <w:pStyle w:val="ListParagraph"/>
        <w:jc w:val="center"/>
        <w:rPr>
          <w:b/>
          <w:bCs/>
          <w:sz w:val="24"/>
          <w:szCs w:val="24"/>
        </w:rPr>
      </w:pPr>
      <w:r w:rsidRPr="00C27E7C">
        <w:rPr>
          <w:b/>
          <w:bCs/>
          <w:sz w:val="24"/>
          <w:szCs w:val="24"/>
        </w:rPr>
        <w:t xml:space="preserve">Rapport pour le trimestre </w:t>
      </w:r>
      <w:r w:rsidRPr="00C27E7C">
        <w:rPr>
          <w:b/>
          <w:bCs/>
          <w:sz w:val="24"/>
          <w:szCs w:val="24"/>
        </w:rPr>
        <w:t>juillet</w:t>
      </w:r>
      <w:r w:rsidRPr="00C27E7C">
        <w:rPr>
          <w:b/>
          <w:bCs/>
          <w:sz w:val="24"/>
          <w:szCs w:val="24"/>
        </w:rPr>
        <w:t>-</w:t>
      </w:r>
      <w:r w:rsidRPr="00C27E7C">
        <w:rPr>
          <w:b/>
          <w:bCs/>
          <w:sz w:val="24"/>
          <w:szCs w:val="24"/>
        </w:rPr>
        <w:t>septembre</w:t>
      </w:r>
      <w:r w:rsidRPr="00C27E7C">
        <w:rPr>
          <w:b/>
          <w:bCs/>
          <w:sz w:val="24"/>
          <w:szCs w:val="24"/>
        </w:rPr>
        <w:t xml:space="preserve"> 2023 destiné au grand public</w:t>
      </w:r>
    </w:p>
    <w:p w:rsidR="00373E14" w:rsidRPr="00373E14" w:rsidRDefault="00373E14" w:rsidP="00373E14">
      <w:pPr>
        <w:spacing w:after="0" w:line="240" w:lineRule="auto"/>
        <w:jc w:val="both"/>
        <w:rPr>
          <w:rFonts w:ascii="Book Antiqua" w:eastAsia="Times New Roman" w:hAnsi="Book Antiqua" w:cs="Times New Roman"/>
          <w:sz w:val="20"/>
          <w:szCs w:val="20"/>
        </w:rPr>
      </w:pPr>
      <w:r w:rsidRPr="00373E14">
        <w:rPr>
          <w:rFonts w:ascii="Book Antiqua" w:eastAsia="Times New Roman" w:hAnsi="Book Antiqua" w:cs="Times New Roman"/>
          <w:sz w:val="20"/>
          <w:szCs w:val="20"/>
        </w:rPr>
        <w:t xml:space="preserve">Le Fonds d’Assistance </w:t>
      </w:r>
      <w:r w:rsidR="00C27E7C" w:rsidRPr="00373E14">
        <w:rPr>
          <w:rFonts w:ascii="Book Antiqua" w:eastAsia="Times New Roman" w:hAnsi="Book Antiqua" w:cs="Times New Roman"/>
          <w:sz w:val="20"/>
          <w:szCs w:val="20"/>
        </w:rPr>
        <w:t>Économique</w:t>
      </w:r>
      <w:r w:rsidRPr="00373E14">
        <w:rPr>
          <w:rFonts w:ascii="Book Antiqua" w:eastAsia="Times New Roman" w:hAnsi="Book Antiqua" w:cs="Times New Roman"/>
          <w:sz w:val="20"/>
          <w:szCs w:val="20"/>
        </w:rPr>
        <w:t xml:space="preserve"> et Sociale (FAES), dans le cadre de sa mission d’accompagner les communautés défavorisées vers l’amélioration de leurs conditions de vie, a financé, à travers sept (7) principaux programmes en cours, les activités primordiales suivantes au cours du trimestre allant de juillet à septembre 2023 :</w:t>
      </w:r>
    </w:p>
    <w:p w:rsidR="00373E14" w:rsidRPr="00373E14" w:rsidRDefault="00373E14" w:rsidP="00373E14">
      <w:pPr>
        <w:spacing w:after="0" w:line="276" w:lineRule="auto"/>
        <w:ind w:left="360"/>
        <w:rPr>
          <w:rFonts w:ascii="Book Antiqua" w:eastAsia="Times New Roman" w:hAnsi="Book Antiqua" w:cs="Times New Roman"/>
        </w:rPr>
      </w:pPr>
    </w:p>
    <w:p w:rsidR="00373E14" w:rsidRPr="00373E14" w:rsidRDefault="00373E14" w:rsidP="00373E14">
      <w:pPr>
        <w:keepNext/>
        <w:spacing w:after="200" w:line="240" w:lineRule="auto"/>
        <w:rPr>
          <w:rFonts w:ascii="Times New Roman" w:eastAsia="Times New Roman" w:hAnsi="Times New Roman" w:cs="Times New Roman"/>
          <w:b/>
          <w:i/>
          <w:iCs/>
          <w:color w:val="44546A" w:themeColor="text2"/>
          <w:sz w:val="18"/>
          <w:szCs w:val="18"/>
        </w:rPr>
      </w:pPr>
      <w:r w:rsidRPr="00373E14">
        <w:rPr>
          <w:rFonts w:ascii="Times New Roman" w:eastAsia="Times New Roman" w:hAnsi="Times New Roman" w:cs="Times New Roman"/>
          <w:b/>
          <w:i/>
          <w:iCs/>
          <w:color w:val="44546A" w:themeColor="text2"/>
          <w:sz w:val="18"/>
          <w:szCs w:val="18"/>
        </w:rPr>
        <w:t>Principales réalisations / Chiffres clés/ Bénéficiaires touchés et décaissements par programme (juillet-septembre 2023)</w:t>
      </w:r>
      <w:r w:rsidRPr="00373E14">
        <w:rPr>
          <w:rFonts w:ascii="Times New Roman" w:eastAsia="Times New Roman" w:hAnsi="Times New Roman" w:cs="Times New Roman"/>
          <w:b/>
          <w:i/>
          <w:iCs/>
          <w:color w:val="44546A" w:themeColor="text2"/>
          <w:sz w:val="18"/>
          <w:szCs w:val="18"/>
          <w:vertAlign w:val="superscript"/>
        </w:rPr>
        <w:endnoteReference w:id="1"/>
      </w:r>
    </w:p>
    <w:tbl>
      <w:tblPr>
        <w:tblStyle w:val="TableGrid"/>
        <w:tblW w:w="5000" w:type="pct"/>
        <w:tblLook w:val="04A0" w:firstRow="1" w:lastRow="0" w:firstColumn="1" w:lastColumn="0" w:noHBand="0" w:noVBand="1"/>
      </w:tblPr>
      <w:tblGrid>
        <w:gridCol w:w="1390"/>
        <w:gridCol w:w="3926"/>
        <w:gridCol w:w="1958"/>
        <w:gridCol w:w="1426"/>
        <w:gridCol w:w="650"/>
      </w:tblGrid>
      <w:tr w:rsidR="00373E14" w:rsidRPr="00373E14" w:rsidTr="00340097">
        <w:trPr>
          <w:tblHeader/>
        </w:trPr>
        <w:tc>
          <w:tcPr>
            <w:tcW w:w="751" w:type="pct"/>
            <w:vMerge w:val="restart"/>
            <w:vAlign w:val="center"/>
          </w:tcPr>
          <w:p w:rsidR="00373E14" w:rsidRPr="00373E14" w:rsidRDefault="00373E14" w:rsidP="00373E14">
            <w:pPr>
              <w:spacing w:line="276" w:lineRule="auto"/>
              <w:jc w:val="center"/>
              <w:rPr>
                <w:rFonts w:ascii="Book Antiqua" w:hAnsi="Book Antiqua"/>
                <w:b/>
                <w:bCs/>
                <w:sz w:val="16"/>
                <w:szCs w:val="16"/>
                <w:shd w:val="clear" w:color="auto" w:fill="FFFFFF"/>
              </w:rPr>
            </w:pPr>
            <w:r w:rsidRPr="00373E14">
              <w:rPr>
                <w:rFonts w:ascii="Book Antiqua" w:hAnsi="Book Antiqua"/>
                <w:b/>
                <w:bCs/>
                <w:sz w:val="16"/>
                <w:szCs w:val="16"/>
                <w:shd w:val="clear" w:color="auto" w:fill="FFFFFF"/>
              </w:rPr>
              <w:t>Programme</w:t>
            </w:r>
          </w:p>
        </w:tc>
        <w:tc>
          <w:tcPr>
            <w:tcW w:w="2154" w:type="pct"/>
            <w:vMerge w:val="restart"/>
            <w:vAlign w:val="center"/>
          </w:tcPr>
          <w:p w:rsidR="00373E14" w:rsidRPr="00373E14" w:rsidRDefault="00373E14" w:rsidP="00373E14">
            <w:pPr>
              <w:spacing w:line="276" w:lineRule="auto"/>
              <w:jc w:val="center"/>
              <w:rPr>
                <w:rFonts w:ascii="Book Antiqua" w:hAnsi="Book Antiqua"/>
                <w:b/>
                <w:bCs/>
                <w:sz w:val="16"/>
                <w:szCs w:val="16"/>
                <w:shd w:val="clear" w:color="auto" w:fill="FFFFFF"/>
              </w:rPr>
            </w:pPr>
            <w:r w:rsidRPr="00373E14">
              <w:rPr>
                <w:rFonts w:ascii="Book Antiqua" w:hAnsi="Book Antiqua"/>
                <w:b/>
                <w:bCs/>
                <w:sz w:val="16"/>
                <w:szCs w:val="16"/>
                <w:shd w:val="clear" w:color="auto" w:fill="FFFFFF"/>
              </w:rPr>
              <w:t>Réalisations (juillet-septembre 2023)</w:t>
            </w:r>
          </w:p>
        </w:tc>
        <w:tc>
          <w:tcPr>
            <w:tcW w:w="1078" w:type="pct"/>
            <w:vMerge w:val="restart"/>
            <w:vAlign w:val="center"/>
          </w:tcPr>
          <w:p w:rsidR="00373E14" w:rsidRPr="00373E14" w:rsidRDefault="00373E14" w:rsidP="00373E14">
            <w:pPr>
              <w:spacing w:line="276" w:lineRule="auto"/>
              <w:jc w:val="center"/>
              <w:rPr>
                <w:rFonts w:ascii="Book Antiqua" w:hAnsi="Book Antiqua"/>
                <w:b/>
                <w:bCs/>
                <w:sz w:val="16"/>
                <w:szCs w:val="16"/>
                <w:shd w:val="clear" w:color="auto" w:fill="FFFFFF"/>
              </w:rPr>
            </w:pPr>
            <w:r w:rsidRPr="00373E14">
              <w:rPr>
                <w:rFonts w:ascii="Book Antiqua" w:hAnsi="Book Antiqua"/>
                <w:b/>
                <w:bCs/>
                <w:sz w:val="16"/>
                <w:szCs w:val="16"/>
                <w:shd w:val="clear" w:color="auto" w:fill="FFFFFF"/>
              </w:rPr>
              <w:t>Nombre de bénéficiaire (s)</w:t>
            </w:r>
          </w:p>
        </w:tc>
        <w:tc>
          <w:tcPr>
            <w:tcW w:w="1016" w:type="pct"/>
            <w:gridSpan w:val="2"/>
            <w:vAlign w:val="center"/>
          </w:tcPr>
          <w:p w:rsidR="00373E14" w:rsidRPr="00373E14" w:rsidRDefault="00373E14" w:rsidP="00373E14">
            <w:pPr>
              <w:spacing w:line="276" w:lineRule="auto"/>
              <w:jc w:val="center"/>
              <w:rPr>
                <w:rFonts w:ascii="Book Antiqua" w:hAnsi="Book Antiqua"/>
                <w:b/>
                <w:bCs/>
                <w:sz w:val="16"/>
                <w:szCs w:val="16"/>
                <w:shd w:val="clear" w:color="auto" w:fill="FFFFFF"/>
              </w:rPr>
            </w:pPr>
            <w:r w:rsidRPr="00373E14">
              <w:rPr>
                <w:rFonts w:ascii="Book Antiqua" w:hAnsi="Book Antiqua"/>
                <w:b/>
                <w:bCs/>
                <w:sz w:val="16"/>
                <w:szCs w:val="16"/>
                <w:shd w:val="clear" w:color="auto" w:fill="FFFFFF"/>
              </w:rPr>
              <w:t>Décaissements</w:t>
            </w:r>
          </w:p>
          <w:p w:rsidR="00373E14" w:rsidRPr="00373E14" w:rsidRDefault="00373E14" w:rsidP="00373E14">
            <w:pPr>
              <w:spacing w:line="276" w:lineRule="auto"/>
              <w:jc w:val="center"/>
              <w:rPr>
                <w:rFonts w:ascii="Book Antiqua" w:hAnsi="Book Antiqua"/>
                <w:b/>
                <w:bCs/>
                <w:sz w:val="16"/>
                <w:szCs w:val="16"/>
                <w:shd w:val="clear" w:color="auto" w:fill="FFFFFF"/>
              </w:rPr>
            </w:pPr>
            <w:r w:rsidRPr="00373E14">
              <w:rPr>
                <w:rFonts w:ascii="Book Antiqua" w:hAnsi="Book Antiqua"/>
                <w:b/>
                <w:bCs/>
                <w:sz w:val="16"/>
                <w:szCs w:val="16"/>
                <w:shd w:val="clear" w:color="auto" w:fill="FFFFFF"/>
              </w:rPr>
              <w:t xml:space="preserve"> (juillet-septembre 2023)</w:t>
            </w:r>
          </w:p>
        </w:tc>
      </w:tr>
      <w:tr w:rsidR="00373E14" w:rsidRPr="00373E14" w:rsidTr="00340097">
        <w:trPr>
          <w:trHeight w:val="70"/>
        </w:trPr>
        <w:tc>
          <w:tcPr>
            <w:tcW w:w="751" w:type="pct"/>
            <w:vMerge/>
            <w:vAlign w:val="center"/>
          </w:tcPr>
          <w:p w:rsidR="00373E14" w:rsidRPr="00373E14" w:rsidRDefault="00373E14" w:rsidP="00373E14">
            <w:pPr>
              <w:spacing w:line="276" w:lineRule="auto"/>
              <w:jc w:val="center"/>
              <w:rPr>
                <w:rFonts w:ascii="Book Antiqua" w:hAnsi="Book Antiqua"/>
                <w:b/>
                <w:bCs/>
                <w:sz w:val="16"/>
                <w:szCs w:val="16"/>
                <w:shd w:val="clear" w:color="auto" w:fill="FFFFFF"/>
              </w:rPr>
            </w:pPr>
          </w:p>
        </w:tc>
        <w:tc>
          <w:tcPr>
            <w:tcW w:w="2154" w:type="pct"/>
            <w:vMerge/>
            <w:vAlign w:val="center"/>
          </w:tcPr>
          <w:p w:rsidR="00373E14" w:rsidRPr="00373E14" w:rsidRDefault="00373E14" w:rsidP="00373E14">
            <w:pPr>
              <w:spacing w:line="276" w:lineRule="auto"/>
              <w:jc w:val="center"/>
              <w:rPr>
                <w:rFonts w:ascii="Book Antiqua" w:hAnsi="Book Antiqua"/>
                <w:b/>
                <w:sz w:val="16"/>
                <w:szCs w:val="16"/>
              </w:rPr>
            </w:pPr>
          </w:p>
        </w:tc>
        <w:tc>
          <w:tcPr>
            <w:tcW w:w="1078" w:type="pct"/>
            <w:vMerge/>
            <w:vAlign w:val="center"/>
          </w:tcPr>
          <w:p w:rsidR="00373E14" w:rsidRPr="00373E14" w:rsidRDefault="00373E14" w:rsidP="00373E14">
            <w:pPr>
              <w:spacing w:line="276" w:lineRule="auto"/>
              <w:jc w:val="center"/>
              <w:rPr>
                <w:rFonts w:ascii="Book Antiqua" w:hAnsi="Book Antiqua"/>
                <w:b/>
                <w:bCs/>
                <w:sz w:val="16"/>
                <w:szCs w:val="16"/>
                <w:shd w:val="clear" w:color="auto" w:fill="FFFFFF"/>
              </w:rPr>
            </w:pPr>
          </w:p>
        </w:tc>
        <w:tc>
          <w:tcPr>
            <w:tcW w:w="698" w:type="pct"/>
            <w:vAlign w:val="center"/>
          </w:tcPr>
          <w:p w:rsidR="00373E14" w:rsidRPr="00373E14" w:rsidRDefault="00373E14" w:rsidP="00373E14">
            <w:pPr>
              <w:jc w:val="center"/>
              <w:rPr>
                <w:rFonts w:ascii="Book Antiqua" w:eastAsia="Times New Roman" w:hAnsi="Book Antiqua" w:cs="Calibri"/>
                <w:b/>
                <w:bCs/>
                <w:sz w:val="16"/>
                <w:szCs w:val="16"/>
              </w:rPr>
            </w:pPr>
            <w:r w:rsidRPr="00373E14">
              <w:rPr>
                <w:rFonts w:ascii="Book Antiqua" w:eastAsia="Times New Roman" w:hAnsi="Book Antiqua" w:cs="Calibri"/>
                <w:b/>
                <w:bCs/>
                <w:sz w:val="16"/>
                <w:szCs w:val="16"/>
              </w:rPr>
              <w:t>Montant</w:t>
            </w:r>
          </w:p>
        </w:tc>
        <w:tc>
          <w:tcPr>
            <w:tcW w:w="318" w:type="pct"/>
            <w:vAlign w:val="center"/>
          </w:tcPr>
          <w:p w:rsidR="00373E14" w:rsidRPr="00373E14" w:rsidRDefault="00373E14" w:rsidP="00373E14">
            <w:pPr>
              <w:jc w:val="center"/>
              <w:rPr>
                <w:rFonts w:ascii="Book Antiqua" w:eastAsia="Times New Roman" w:hAnsi="Book Antiqua" w:cs="Calibri"/>
                <w:b/>
                <w:bCs/>
                <w:sz w:val="16"/>
                <w:szCs w:val="16"/>
              </w:rPr>
            </w:pPr>
            <w:r w:rsidRPr="00373E14">
              <w:rPr>
                <w:rFonts w:ascii="Book Antiqua" w:eastAsia="Times New Roman" w:hAnsi="Book Antiqua" w:cs="Calibri"/>
                <w:b/>
                <w:bCs/>
                <w:sz w:val="16"/>
                <w:szCs w:val="16"/>
              </w:rPr>
              <w:t>Unité</w:t>
            </w:r>
          </w:p>
        </w:tc>
      </w:tr>
      <w:tr w:rsidR="00373E14" w:rsidRPr="00373E14" w:rsidTr="00340097">
        <w:trPr>
          <w:trHeight w:val="576"/>
        </w:trPr>
        <w:tc>
          <w:tcPr>
            <w:tcW w:w="751" w:type="pct"/>
            <w:vMerge w:val="restart"/>
            <w:vAlign w:val="center"/>
          </w:tcPr>
          <w:p w:rsidR="00373E14" w:rsidRPr="00373E14" w:rsidRDefault="00373E14" w:rsidP="00373E14">
            <w:pPr>
              <w:spacing w:line="276" w:lineRule="auto"/>
              <w:jc w:val="both"/>
              <w:rPr>
                <w:rFonts w:ascii="Book Antiqua" w:hAnsi="Book Antiqua"/>
                <w:b/>
                <w:bCs/>
                <w:sz w:val="16"/>
                <w:szCs w:val="16"/>
                <w:shd w:val="clear" w:color="auto" w:fill="FFFFFF"/>
              </w:rPr>
            </w:pPr>
            <w:r w:rsidRPr="00373E14">
              <w:rPr>
                <w:rFonts w:ascii="Book Antiqua" w:hAnsi="Book Antiqua"/>
                <w:b/>
                <w:bCs/>
                <w:sz w:val="16"/>
                <w:szCs w:val="16"/>
                <w:shd w:val="clear" w:color="auto" w:fill="FFFFFF"/>
              </w:rPr>
              <w:t>Programme d’Urgence Multisectoriel pour l’Apaisement et la Réinsertion Sociale des Groupes Vulnérables (Trésor Public)</w:t>
            </w: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222,581 transferts monétaires non-conditionnés (5,000 gourdes/transfert) à des ouvriers de la Sous-Traitance</w:t>
            </w:r>
          </w:p>
        </w:tc>
        <w:tc>
          <w:tcPr>
            <w:tcW w:w="1078" w:type="pct"/>
            <w:vAlign w:val="center"/>
          </w:tcPr>
          <w:p w:rsidR="00373E14" w:rsidRPr="00373E14" w:rsidRDefault="00373E14"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44,516 ouvriers de la SONAPI</w:t>
            </w:r>
          </w:p>
        </w:tc>
        <w:tc>
          <w:tcPr>
            <w:tcW w:w="698" w:type="pct"/>
            <w:vMerge w:val="restart"/>
            <w:vAlign w:val="center"/>
          </w:tcPr>
          <w:p w:rsidR="00373E14" w:rsidRPr="00373E14" w:rsidRDefault="00373E14" w:rsidP="00373E14">
            <w:pPr>
              <w:rPr>
                <w:rFonts w:ascii="Book Antiqua" w:eastAsia="Times New Roman" w:hAnsi="Book Antiqua" w:cs="Times New Roman"/>
                <w:bCs/>
                <w:sz w:val="16"/>
                <w:szCs w:val="16"/>
              </w:rPr>
            </w:pPr>
            <w:r w:rsidRPr="00373E14">
              <w:rPr>
                <w:rFonts w:ascii="Book Antiqua" w:eastAsia="Times New Roman" w:hAnsi="Book Antiqua" w:cs="Times New Roman"/>
                <w:bCs/>
                <w:sz w:val="16"/>
                <w:szCs w:val="16"/>
              </w:rPr>
              <w:t>2,641,650,000.00</w:t>
            </w:r>
          </w:p>
        </w:tc>
        <w:tc>
          <w:tcPr>
            <w:tcW w:w="318" w:type="pct"/>
            <w:vMerge w:val="restart"/>
            <w:vAlign w:val="center"/>
          </w:tcPr>
          <w:p w:rsidR="00373E14" w:rsidRPr="00373E14" w:rsidRDefault="00373E14" w:rsidP="00373E14">
            <w:pPr>
              <w:rPr>
                <w:rFonts w:ascii="Book Antiqua" w:eastAsia="Times New Roman" w:hAnsi="Book Antiqua" w:cs="Calibri"/>
                <w:bCs/>
                <w:sz w:val="16"/>
                <w:szCs w:val="16"/>
              </w:rPr>
            </w:pPr>
            <w:r w:rsidRPr="00373E14">
              <w:rPr>
                <w:rFonts w:ascii="Book Antiqua" w:eastAsia="Times New Roman" w:hAnsi="Book Antiqua" w:cs="Calibri"/>
                <w:bCs/>
                <w:sz w:val="16"/>
                <w:szCs w:val="16"/>
              </w:rPr>
              <w:t>HTG</w:t>
            </w:r>
          </w:p>
        </w:tc>
      </w:tr>
      <w:tr w:rsidR="00373E14" w:rsidRPr="00373E14" w:rsidTr="00340097">
        <w:trPr>
          <w:trHeight w:val="476"/>
        </w:trPr>
        <w:tc>
          <w:tcPr>
            <w:tcW w:w="751" w:type="pct"/>
            <w:vMerge/>
            <w:vAlign w:val="center"/>
          </w:tcPr>
          <w:p w:rsidR="00373E14" w:rsidRPr="00373E14" w:rsidRDefault="00373E14" w:rsidP="00373E14">
            <w:pPr>
              <w:spacing w:after="12"/>
              <w:rPr>
                <w:rFonts w:ascii="Book Antiqua" w:eastAsia="Times New Roman" w:hAnsi="Book Antiqua" w:cs="Times New Roman"/>
                <w:bCs/>
                <w:sz w:val="16"/>
                <w:szCs w:val="16"/>
              </w:rPr>
            </w:pP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57,606 transferts monétaires non-conditionnés (7,500 gourdes/transfert) à des parents d’élèves à travers le pas</w:t>
            </w:r>
          </w:p>
        </w:tc>
        <w:tc>
          <w:tcPr>
            <w:tcW w:w="1078" w:type="pct"/>
            <w:vAlign w:val="center"/>
          </w:tcPr>
          <w:p w:rsidR="00373E14" w:rsidRPr="00373E14" w:rsidRDefault="00373E14"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27,278 Parents d’écoliers</w:t>
            </w:r>
          </w:p>
        </w:tc>
        <w:tc>
          <w:tcPr>
            <w:tcW w:w="698" w:type="pct"/>
            <w:vMerge/>
            <w:vAlign w:val="center"/>
          </w:tcPr>
          <w:p w:rsidR="00373E14" w:rsidRPr="00373E14" w:rsidRDefault="00373E14" w:rsidP="00373E14">
            <w:pPr>
              <w:rPr>
                <w:rFonts w:ascii="Book Antiqua" w:eastAsia="Times New Roman" w:hAnsi="Book Antiqua" w:cs="Calibri"/>
                <w:sz w:val="16"/>
                <w:szCs w:val="16"/>
              </w:rPr>
            </w:pPr>
          </w:p>
        </w:tc>
        <w:tc>
          <w:tcPr>
            <w:tcW w:w="318" w:type="pct"/>
            <w:vMerge/>
            <w:vAlign w:val="center"/>
          </w:tcPr>
          <w:p w:rsidR="00373E14" w:rsidRPr="00373E14" w:rsidRDefault="00373E14" w:rsidP="00373E14">
            <w:pPr>
              <w:rPr>
                <w:rFonts w:ascii="Book Antiqua" w:eastAsia="Times New Roman" w:hAnsi="Book Antiqua" w:cs="Calibri"/>
                <w:bCs/>
                <w:sz w:val="16"/>
                <w:szCs w:val="16"/>
              </w:rPr>
            </w:pPr>
          </w:p>
        </w:tc>
      </w:tr>
      <w:tr w:rsidR="00373E14" w:rsidRPr="00373E14" w:rsidTr="00340097">
        <w:trPr>
          <w:trHeight w:val="476"/>
        </w:trPr>
        <w:tc>
          <w:tcPr>
            <w:tcW w:w="751" w:type="pct"/>
            <w:vMerge/>
            <w:vAlign w:val="center"/>
          </w:tcPr>
          <w:p w:rsidR="00373E14" w:rsidRPr="00373E14" w:rsidRDefault="00373E14" w:rsidP="00373E14">
            <w:pPr>
              <w:spacing w:after="12"/>
              <w:rPr>
                <w:rFonts w:ascii="Book Antiqua" w:eastAsia="Times New Roman" w:hAnsi="Book Antiqua" w:cs="Times New Roman"/>
                <w:bCs/>
                <w:sz w:val="16"/>
                <w:szCs w:val="16"/>
              </w:rPr>
            </w:pP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219,340 transferts monétaires non-conditionnés, (5000 gourdes/transfert) à des ménages vulnérables à travers les 10 Départements géographiques du pays</w:t>
            </w:r>
          </w:p>
        </w:tc>
        <w:tc>
          <w:tcPr>
            <w:tcW w:w="1078" w:type="pct"/>
            <w:vAlign w:val="center"/>
          </w:tcPr>
          <w:p w:rsidR="00373E14" w:rsidRPr="00373E14" w:rsidRDefault="00373E14"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85,060 ménages vulnérables</w:t>
            </w:r>
          </w:p>
        </w:tc>
        <w:tc>
          <w:tcPr>
            <w:tcW w:w="698" w:type="pct"/>
            <w:vMerge/>
            <w:vAlign w:val="center"/>
          </w:tcPr>
          <w:p w:rsidR="00373E14" w:rsidRPr="00373E14" w:rsidRDefault="00373E14" w:rsidP="00373E14">
            <w:pPr>
              <w:rPr>
                <w:rFonts w:ascii="Book Antiqua" w:eastAsia="Times New Roman" w:hAnsi="Book Antiqua" w:cs="Calibri"/>
                <w:sz w:val="16"/>
                <w:szCs w:val="16"/>
              </w:rPr>
            </w:pPr>
          </w:p>
        </w:tc>
        <w:tc>
          <w:tcPr>
            <w:tcW w:w="318" w:type="pct"/>
            <w:vMerge/>
            <w:vAlign w:val="center"/>
          </w:tcPr>
          <w:p w:rsidR="00373E14" w:rsidRPr="00373E14" w:rsidRDefault="00373E14" w:rsidP="00373E14">
            <w:pPr>
              <w:rPr>
                <w:rFonts w:ascii="Book Antiqua" w:eastAsia="Times New Roman" w:hAnsi="Book Antiqua" w:cs="Calibri"/>
                <w:bCs/>
                <w:sz w:val="16"/>
                <w:szCs w:val="16"/>
              </w:rPr>
            </w:pPr>
          </w:p>
        </w:tc>
      </w:tr>
      <w:tr w:rsidR="00373E14" w:rsidRPr="00373E14" w:rsidTr="00340097">
        <w:trPr>
          <w:trHeight w:val="476"/>
        </w:trPr>
        <w:tc>
          <w:tcPr>
            <w:tcW w:w="751" w:type="pct"/>
            <w:vMerge w:val="restart"/>
            <w:vAlign w:val="center"/>
          </w:tcPr>
          <w:p w:rsidR="00373E14" w:rsidRPr="00373E14" w:rsidRDefault="00373E14" w:rsidP="00373E14">
            <w:pPr>
              <w:spacing w:after="12"/>
              <w:rPr>
                <w:rFonts w:ascii="Book Antiqua" w:eastAsia="Times New Roman" w:hAnsi="Book Antiqua" w:cs="Times New Roman"/>
                <w:b/>
                <w:bCs/>
                <w:sz w:val="16"/>
                <w:szCs w:val="16"/>
                <w:shd w:val="clear" w:color="auto" w:fill="FFFFFF"/>
              </w:rPr>
            </w:pPr>
            <w:r w:rsidRPr="00373E14">
              <w:rPr>
                <w:rFonts w:ascii="Book Antiqua" w:eastAsia="Times New Roman" w:hAnsi="Book Antiqua" w:cs="Times New Roman"/>
                <w:b/>
                <w:bCs/>
                <w:sz w:val="16"/>
                <w:szCs w:val="16"/>
                <w:shd w:val="clear" w:color="auto" w:fill="FFFFFF"/>
              </w:rPr>
              <w:t>Programme d’Assistance sociale KORE-PEP (TAIWAN)</w:t>
            </w: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Distribution de 30,000 rations sèches de produits alimentaires ou « </w:t>
            </w:r>
            <w:proofErr w:type="spellStart"/>
            <w:r w:rsidRPr="00373E14">
              <w:rPr>
                <w:rFonts w:ascii="Book Antiqua" w:hAnsi="Book Antiqua"/>
                <w:sz w:val="16"/>
                <w:szCs w:val="16"/>
              </w:rPr>
              <w:t>Panye</w:t>
            </w:r>
            <w:proofErr w:type="spellEnd"/>
            <w:r w:rsidRPr="00373E14">
              <w:rPr>
                <w:rFonts w:ascii="Book Antiqua" w:hAnsi="Book Antiqua"/>
                <w:sz w:val="16"/>
                <w:szCs w:val="16"/>
              </w:rPr>
              <w:t xml:space="preserve"> </w:t>
            </w:r>
            <w:proofErr w:type="spellStart"/>
            <w:r w:rsidRPr="00373E14">
              <w:rPr>
                <w:rFonts w:ascii="Book Antiqua" w:hAnsi="Book Antiqua"/>
                <w:sz w:val="16"/>
                <w:szCs w:val="16"/>
              </w:rPr>
              <w:t>Solidarite</w:t>
            </w:r>
            <w:proofErr w:type="spellEnd"/>
            <w:r w:rsidRPr="00373E14">
              <w:rPr>
                <w:rFonts w:ascii="Book Antiqua" w:hAnsi="Book Antiqua"/>
                <w:sz w:val="16"/>
                <w:szCs w:val="16"/>
              </w:rPr>
              <w:t xml:space="preserve"> / kits alimentaires » gratuitement à des ménages vulnérables, en situation d’insécurité alimentaire et à des ménages vulnérables à travers le Département de l’Ouest</w:t>
            </w:r>
          </w:p>
        </w:tc>
        <w:tc>
          <w:tcPr>
            <w:tcW w:w="1078" w:type="pct"/>
            <w:vAlign w:val="center"/>
          </w:tcPr>
          <w:p w:rsidR="00373E14" w:rsidRPr="00373E14" w:rsidRDefault="00373E14"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30,000 ménages vulnérables</w:t>
            </w:r>
          </w:p>
        </w:tc>
        <w:tc>
          <w:tcPr>
            <w:tcW w:w="698" w:type="pct"/>
            <w:vMerge w:val="restart"/>
            <w:vAlign w:val="center"/>
          </w:tcPr>
          <w:p w:rsidR="00373E14" w:rsidRPr="00373E14" w:rsidRDefault="00373E14" w:rsidP="00373E14">
            <w:pPr>
              <w:rPr>
                <w:rFonts w:ascii="Book Antiqua" w:eastAsia="Times New Roman" w:hAnsi="Book Antiqua" w:cs="Calibri"/>
                <w:bCs/>
                <w:sz w:val="16"/>
                <w:szCs w:val="16"/>
              </w:rPr>
            </w:pPr>
            <w:r w:rsidRPr="00373E14">
              <w:rPr>
                <w:rFonts w:ascii="Book Antiqua" w:eastAsia="Times New Roman" w:hAnsi="Book Antiqua" w:cs="Calibri"/>
                <w:bCs/>
                <w:sz w:val="16"/>
                <w:szCs w:val="16"/>
              </w:rPr>
              <w:t>801,436.82.00</w:t>
            </w:r>
          </w:p>
        </w:tc>
        <w:tc>
          <w:tcPr>
            <w:tcW w:w="318" w:type="pct"/>
            <w:vMerge w:val="restart"/>
            <w:vAlign w:val="center"/>
          </w:tcPr>
          <w:p w:rsidR="00373E14" w:rsidRPr="00373E14" w:rsidRDefault="00373E14" w:rsidP="00373E14">
            <w:pPr>
              <w:rPr>
                <w:rFonts w:ascii="Book Antiqua" w:eastAsia="Times New Roman" w:hAnsi="Book Antiqua" w:cs="Calibri"/>
                <w:bCs/>
                <w:sz w:val="16"/>
                <w:szCs w:val="16"/>
              </w:rPr>
            </w:pPr>
            <w:r w:rsidRPr="00373E14">
              <w:rPr>
                <w:rFonts w:ascii="Book Antiqua" w:eastAsia="Times New Roman" w:hAnsi="Book Antiqua" w:cs="Calibri"/>
                <w:bCs/>
                <w:sz w:val="16"/>
                <w:szCs w:val="16"/>
              </w:rPr>
              <w:t>USD</w:t>
            </w:r>
          </w:p>
        </w:tc>
      </w:tr>
      <w:tr w:rsidR="00373E14" w:rsidRPr="00373E14" w:rsidTr="00340097">
        <w:trPr>
          <w:trHeight w:val="476"/>
        </w:trPr>
        <w:tc>
          <w:tcPr>
            <w:tcW w:w="751" w:type="pct"/>
            <w:vMerge/>
            <w:vAlign w:val="center"/>
          </w:tcPr>
          <w:p w:rsidR="00373E14" w:rsidRPr="00373E14" w:rsidRDefault="00373E14" w:rsidP="00373E14">
            <w:pPr>
              <w:spacing w:after="12"/>
              <w:rPr>
                <w:rFonts w:ascii="Book Antiqua" w:eastAsia="Times New Roman" w:hAnsi="Book Antiqua" w:cs="Times New Roman"/>
                <w:bCs/>
                <w:sz w:val="16"/>
                <w:szCs w:val="16"/>
              </w:rPr>
            </w:pP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 xml:space="preserve">120 approvisionnements </w:t>
            </w:r>
            <w:r w:rsidR="00C27E7C" w:rsidRPr="00373E14">
              <w:rPr>
                <w:rFonts w:ascii="Book Antiqua" w:hAnsi="Book Antiqua"/>
                <w:sz w:val="16"/>
                <w:szCs w:val="16"/>
              </w:rPr>
              <w:t>de restaurants</w:t>
            </w:r>
            <w:r w:rsidRPr="00373E14">
              <w:rPr>
                <w:rFonts w:ascii="Book Antiqua" w:hAnsi="Book Antiqua"/>
                <w:sz w:val="16"/>
                <w:szCs w:val="16"/>
              </w:rPr>
              <w:t xml:space="preserve"> communautaires (120) à travers les Départements de l’Ouest et du Nord</w:t>
            </w:r>
          </w:p>
        </w:tc>
        <w:tc>
          <w:tcPr>
            <w:tcW w:w="1078" w:type="pct"/>
            <w:vAlign w:val="center"/>
          </w:tcPr>
          <w:p w:rsidR="00373E14" w:rsidRPr="00373E14" w:rsidRDefault="00373E14"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 xml:space="preserve">  Sept (7) Arrondissements du Département du nord</w:t>
            </w:r>
          </w:p>
          <w:p w:rsidR="00373E14" w:rsidRPr="00373E14" w:rsidRDefault="00373E14"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 xml:space="preserve">OUEST (PAP, Delmas, Carrefour, PV, </w:t>
            </w:r>
            <w:proofErr w:type="spellStart"/>
            <w:r w:rsidRPr="00373E14">
              <w:rPr>
                <w:rFonts w:ascii="Book Antiqua" w:hAnsi="Book Antiqua"/>
                <w:bCs/>
                <w:sz w:val="16"/>
                <w:szCs w:val="16"/>
                <w:shd w:val="clear" w:color="auto" w:fill="FFFFFF"/>
              </w:rPr>
              <w:t>Tabarre</w:t>
            </w:r>
            <w:proofErr w:type="spellEnd"/>
            <w:r w:rsidRPr="00373E14">
              <w:rPr>
                <w:rFonts w:ascii="Book Antiqua" w:hAnsi="Book Antiqua"/>
                <w:bCs/>
                <w:sz w:val="16"/>
                <w:szCs w:val="16"/>
                <w:shd w:val="clear" w:color="auto" w:fill="FFFFFF"/>
              </w:rPr>
              <w:t xml:space="preserve">, Cité Soleil, </w:t>
            </w:r>
            <w:proofErr w:type="spellStart"/>
            <w:r w:rsidRPr="00373E14">
              <w:rPr>
                <w:rFonts w:ascii="Book Antiqua" w:hAnsi="Book Antiqua"/>
                <w:bCs/>
                <w:sz w:val="16"/>
                <w:szCs w:val="16"/>
                <w:shd w:val="clear" w:color="auto" w:fill="FFFFFF"/>
              </w:rPr>
              <w:t>Kenscoff</w:t>
            </w:r>
            <w:proofErr w:type="spellEnd"/>
            <w:r w:rsidRPr="00373E14">
              <w:rPr>
                <w:rFonts w:ascii="Book Antiqua" w:hAnsi="Book Antiqua"/>
                <w:bCs/>
                <w:sz w:val="16"/>
                <w:szCs w:val="16"/>
                <w:shd w:val="clear" w:color="auto" w:fill="FFFFFF"/>
              </w:rPr>
              <w:t xml:space="preserve">), </w:t>
            </w:r>
            <w:proofErr w:type="spellStart"/>
            <w:r w:rsidRPr="00373E14">
              <w:rPr>
                <w:rFonts w:ascii="Book Antiqua" w:hAnsi="Book Antiqua"/>
                <w:bCs/>
                <w:sz w:val="16"/>
                <w:szCs w:val="16"/>
                <w:shd w:val="clear" w:color="auto" w:fill="FFFFFF"/>
              </w:rPr>
              <w:t>Arcahaie</w:t>
            </w:r>
            <w:proofErr w:type="spellEnd"/>
            <w:r w:rsidRPr="00373E14">
              <w:rPr>
                <w:rFonts w:ascii="Book Antiqua" w:hAnsi="Book Antiqua"/>
                <w:bCs/>
                <w:sz w:val="16"/>
                <w:szCs w:val="16"/>
                <w:shd w:val="clear" w:color="auto" w:fill="FFFFFF"/>
              </w:rPr>
              <w:t>, Cabaret</w:t>
            </w:r>
          </w:p>
        </w:tc>
        <w:tc>
          <w:tcPr>
            <w:tcW w:w="698" w:type="pct"/>
            <w:vMerge/>
            <w:vAlign w:val="center"/>
          </w:tcPr>
          <w:p w:rsidR="00373E14" w:rsidRPr="00373E14" w:rsidRDefault="00373E14" w:rsidP="00373E14">
            <w:pPr>
              <w:rPr>
                <w:rFonts w:ascii="Book Antiqua" w:eastAsia="Times New Roman" w:hAnsi="Book Antiqua" w:cs="Calibri"/>
                <w:sz w:val="16"/>
                <w:szCs w:val="16"/>
              </w:rPr>
            </w:pPr>
          </w:p>
        </w:tc>
        <w:tc>
          <w:tcPr>
            <w:tcW w:w="318" w:type="pct"/>
            <w:vMerge/>
            <w:vAlign w:val="center"/>
          </w:tcPr>
          <w:p w:rsidR="00373E14" w:rsidRPr="00373E14" w:rsidRDefault="00373E14" w:rsidP="00373E14">
            <w:pPr>
              <w:rPr>
                <w:rFonts w:ascii="Book Antiqua" w:eastAsia="Times New Roman" w:hAnsi="Book Antiqua" w:cs="Calibri"/>
                <w:bCs/>
                <w:sz w:val="16"/>
                <w:szCs w:val="16"/>
              </w:rPr>
            </w:pPr>
          </w:p>
        </w:tc>
      </w:tr>
      <w:tr w:rsidR="00373E14" w:rsidRPr="00373E14" w:rsidTr="00340097">
        <w:trPr>
          <w:trHeight w:val="476"/>
        </w:trPr>
        <w:tc>
          <w:tcPr>
            <w:tcW w:w="751" w:type="pct"/>
            <w:vMerge/>
            <w:vAlign w:val="center"/>
          </w:tcPr>
          <w:p w:rsidR="00373E14" w:rsidRPr="00373E14" w:rsidRDefault="00373E14" w:rsidP="00373E14">
            <w:pPr>
              <w:spacing w:after="12"/>
              <w:rPr>
                <w:rFonts w:ascii="Book Antiqua" w:eastAsia="Times New Roman" w:hAnsi="Book Antiqua" w:cs="Times New Roman"/>
                <w:bCs/>
                <w:sz w:val="16"/>
                <w:szCs w:val="16"/>
              </w:rPr>
            </w:pP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Cantine+ Mobile/Distribution de 66,227 plats chauds à travers le Département de l’Ouest</w:t>
            </w:r>
          </w:p>
        </w:tc>
        <w:tc>
          <w:tcPr>
            <w:tcW w:w="1078" w:type="pct"/>
            <w:vAlign w:val="center"/>
          </w:tcPr>
          <w:p w:rsidR="00373E14" w:rsidRPr="00373E14" w:rsidRDefault="00373E14"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Zone métropolitaine de PAP</w:t>
            </w:r>
          </w:p>
        </w:tc>
        <w:tc>
          <w:tcPr>
            <w:tcW w:w="698" w:type="pct"/>
            <w:vMerge/>
            <w:vAlign w:val="center"/>
          </w:tcPr>
          <w:p w:rsidR="00373E14" w:rsidRPr="00373E14" w:rsidRDefault="00373E14" w:rsidP="00373E14">
            <w:pPr>
              <w:rPr>
                <w:rFonts w:ascii="Book Antiqua" w:eastAsia="Times New Roman" w:hAnsi="Book Antiqua" w:cs="Calibri"/>
                <w:sz w:val="16"/>
                <w:szCs w:val="16"/>
              </w:rPr>
            </w:pPr>
          </w:p>
        </w:tc>
        <w:tc>
          <w:tcPr>
            <w:tcW w:w="318" w:type="pct"/>
            <w:vMerge/>
            <w:vAlign w:val="center"/>
          </w:tcPr>
          <w:p w:rsidR="00373E14" w:rsidRPr="00373E14" w:rsidRDefault="00373E14" w:rsidP="00373E14">
            <w:pPr>
              <w:rPr>
                <w:rFonts w:ascii="Book Antiqua" w:eastAsia="Times New Roman" w:hAnsi="Book Antiqua" w:cs="Calibri"/>
                <w:bCs/>
                <w:sz w:val="16"/>
                <w:szCs w:val="16"/>
              </w:rPr>
            </w:pPr>
          </w:p>
        </w:tc>
      </w:tr>
      <w:tr w:rsidR="00373E14" w:rsidRPr="00373E14" w:rsidTr="00340097">
        <w:trPr>
          <w:trHeight w:val="476"/>
        </w:trPr>
        <w:tc>
          <w:tcPr>
            <w:tcW w:w="751" w:type="pct"/>
            <w:vMerge w:val="restart"/>
            <w:vAlign w:val="center"/>
          </w:tcPr>
          <w:p w:rsidR="00373E14" w:rsidRPr="00373E14" w:rsidRDefault="00373E14" w:rsidP="00373E14">
            <w:pPr>
              <w:spacing w:after="12"/>
              <w:rPr>
                <w:rFonts w:ascii="Book Antiqua" w:eastAsia="Times New Roman" w:hAnsi="Book Antiqua" w:cs="Times New Roman"/>
                <w:bCs/>
                <w:sz w:val="16"/>
                <w:szCs w:val="16"/>
              </w:rPr>
            </w:pPr>
            <w:r w:rsidRPr="00373E14">
              <w:rPr>
                <w:rFonts w:ascii="Book Antiqua" w:eastAsia="Times New Roman" w:hAnsi="Book Antiqua" w:cs="Times New Roman"/>
                <w:b/>
                <w:bCs/>
                <w:sz w:val="16"/>
                <w:szCs w:val="16"/>
                <w:shd w:val="clear" w:color="auto" w:fill="FFFFFF"/>
              </w:rPr>
              <w:t>Programme d’Assistance sociale KORE-PEP (GOH)</w:t>
            </w: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Distribution de 24,961 rations sèches de produits alimentaires ou « </w:t>
            </w:r>
            <w:proofErr w:type="spellStart"/>
            <w:r w:rsidRPr="00373E14">
              <w:rPr>
                <w:rFonts w:ascii="Book Antiqua" w:hAnsi="Book Antiqua"/>
                <w:sz w:val="16"/>
                <w:szCs w:val="16"/>
              </w:rPr>
              <w:t>Panye</w:t>
            </w:r>
            <w:proofErr w:type="spellEnd"/>
            <w:r w:rsidRPr="00373E14">
              <w:rPr>
                <w:rFonts w:ascii="Book Antiqua" w:hAnsi="Book Antiqua"/>
                <w:sz w:val="16"/>
                <w:szCs w:val="16"/>
              </w:rPr>
              <w:t xml:space="preserve"> </w:t>
            </w:r>
            <w:proofErr w:type="spellStart"/>
            <w:r w:rsidRPr="00373E14">
              <w:rPr>
                <w:rFonts w:ascii="Book Antiqua" w:hAnsi="Book Antiqua"/>
                <w:sz w:val="16"/>
                <w:szCs w:val="16"/>
              </w:rPr>
              <w:t>Solidarite</w:t>
            </w:r>
            <w:proofErr w:type="spellEnd"/>
            <w:r w:rsidRPr="00373E14">
              <w:rPr>
                <w:rFonts w:ascii="Book Antiqua" w:hAnsi="Book Antiqua"/>
                <w:sz w:val="16"/>
                <w:szCs w:val="16"/>
              </w:rPr>
              <w:t xml:space="preserve"> / kits alimentaires » gratuitement à des ménages vulnérables, en situation d’insécurité alimentaire et à des personnes sinistrées à travers le Département de l’Ouest</w:t>
            </w:r>
          </w:p>
        </w:tc>
        <w:tc>
          <w:tcPr>
            <w:tcW w:w="1078" w:type="pct"/>
            <w:vAlign w:val="center"/>
          </w:tcPr>
          <w:p w:rsidR="00373E14" w:rsidRPr="00373E14" w:rsidRDefault="00373E14"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Zone métropolitaine de PAP</w:t>
            </w:r>
          </w:p>
        </w:tc>
        <w:tc>
          <w:tcPr>
            <w:tcW w:w="698" w:type="pct"/>
            <w:vMerge w:val="restart"/>
            <w:vAlign w:val="center"/>
          </w:tcPr>
          <w:p w:rsidR="00373E14" w:rsidRPr="00373E14" w:rsidRDefault="00373E14" w:rsidP="00373E14">
            <w:pPr>
              <w:ind w:left="210"/>
              <w:contextualSpacing/>
              <w:rPr>
                <w:rFonts w:ascii="Book Antiqua" w:eastAsia="Times New Roman" w:hAnsi="Book Antiqua" w:cs="Calibri"/>
                <w:sz w:val="16"/>
                <w:szCs w:val="16"/>
              </w:rPr>
            </w:pPr>
          </w:p>
          <w:p w:rsidR="00373E14" w:rsidRPr="00373E14" w:rsidRDefault="00373E14" w:rsidP="00373E14">
            <w:pPr>
              <w:ind w:left="210"/>
              <w:contextualSpacing/>
              <w:rPr>
                <w:rFonts w:ascii="Book Antiqua" w:eastAsia="Times New Roman" w:hAnsi="Book Antiqua" w:cs="Calibri"/>
                <w:sz w:val="16"/>
                <w:szCs w:val="16"/>
              </w:rPr>
            </w:pPr>
          </w:p>
          <w:p w:rsidR="00373E14" w:rsidRPr="00373E14" w:rsidRDefault="00373E14" w:rsidP="00373E14">
            <w:pPr>
              <w:ind w:left="210"/>
              <w:contextualSpacing/>
              <w:rPr>
                <w:rFonts w:ascii="Book Antiqua" w:eastAsia="Times New Roman" w:hAnsi="Book Antiqua" w:cs="Calibri"/>
                <w:sz w:val="16"/>
                <w:szCs w:val="16"/>
              </w:rPr>
            </w:pPr>
            <w:r w:rsidRPr="00373E14">
              <w:rPr>
                <w:rFonts w:ascii="Book Antiqua" w:eastAsia="Times New Roman" w:hAnsi="Book Antiqua" w:cs="Calibri"/>
                <w:sz w:val="16"/>
                <w:szCs w:val="16"/>
              </w:rPr>
              <w:t>127,808,000.00</w:t>
            </w:r>
          </w:p>
        </w:tc>
        <w:tc>
          <w:tcPr>
            <w:tcW w:w="318" w:type="pct"/>
            <w:vMerge w:val="restart"/>
            <w:vAlign w:val="center"/>
          </w:tcPr>
          <w:p w:rsidR="00373E14" w:rsidRPr="00373E14" w:rsidRDefault="00373E14" w:rsidP="00373E14">
            <w:pPr>
              <w:rPr>
                <w:rFonts w:ascii="Book Antiqua" w:eastAsia="Times New Roman" w:hAnsi="Book Antiqua" w:cs="Calibri"/>
                <w:sz w:val="16"/>
                <w:szCs w:val="16"/>
              </w:rPr>
            </w:pPr>
          </w:p>
          <w:p w:rsidR="00373E14" w:rsidRPr="00373E14" w:rsidRDefault="00373E14" w:rsidP="00373E14">
            <w:pPr>
              <w:rPr>
                <w:rFonts w:ascii="Book Antiqua" w:eastAsia="Times New Roman" w:hAnsi="Book Antiqua" w:cs="Calibri"/>
                <w:sz w:val="16"/>
                <w:szCs w:val="16"/>
              </w:rPr>
            </w:pPr>
            <w:r w:rsidRPr="00373E14">
              <w:rPr>
                <w:rFonts w:ascii="Book Antiqua" w:eastAsia="Times New Roman" w:hAnsi="Book Antiqua" w:cs="Calibri"/>
                <w:sz w:val="16"/>
                <w:szCs w:val="16"/>
              </w:rPr>
              <w:t>HTG</w:t>
            </w:r>
          </w:p>
        </w:tc>
      </w:tr>
      <w:tr w:rsidR="00373E14" w:rsidRPr="00373E14" w:rsidTr="00340097">
        <w:trPr>
          <w:trHeight w:val="512"/>
        </w:trPr>
        <w:tc>
          <w:tcPr>
            <w:tcW w:w="751" w:type="pct"/>
            <w:vMerge/>
            <w:vAlign w:val="center"/>
          </w:tcPr>
          <w:p w:rsidR="00373E14" w:rsidRPr="00373E14" w:rsidRDefault="00373E14" w:rsidP="00373E14">
            <w:pPr>
              <w:spacing w:after="12"/>
              <w:rPr>
                <w:rFonts w:ascii="Book Antiqua" w:eastAsia="Times New Roman" w:hAnsi="Book Antiqua" w:cs="Times New Roman"/>
                <w:bCs/>
                <w:sz w:val="16"/>
                <w:szCs w:val="16"/>
              </w:rPr>
            </w:pP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Cantine Mobile/Distribution de 240,000 plats chauds à travers le …Département de l’Ouest</w:t>
            </w:r>
          </w:p>
        </w:tc>
        <w:tc>
          <w:tcPr>
            <w:tcW w:w="1078" w:type="pct"/>
            <w:vAlign w:val="center"/>
          </w:tcPr>
          <w:p w:rsidR="00373E14" w:rsidRPr="00373E14" w:rsidRDefault="00373E14"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Zone métropolitaine de PAP</w:t>
            </w:r>
          </w:p>
        </w:tc>
        <w:tc>
          <w:tcPr>
            <w:tcW w:w="698" w:type="pct"/>
            <w:vMerge/>
            <w:vAlign w:val="center"/>
          </w:tcPr>
          <w:p w:rsidR="00373E14" w:rsidRPr="00373E14" w:rsidRDefault="00373E14" w:rsidP="00373E14">
            <w:pPr>
              <w:rPr>
                <w:rFonts w:ascii="Book Antiqua" w:eastAsia="Times New Roman" w:hAnsi="Book Antiqua" w:cs="Calibri"/>
                <w:sz w:val="16"/>
                <w:szCs w:val="16"/>
              </w:rPr>
            </w:pPr>
          </w:p>
        </w:tc>
        <w:tc>
          <w:tcPr>
            <w:tcW w:w="318" w:type="pct"/>
            <w:vMerge/>
            <w:vAlign w:val="center"/>
          </w:tcPr>
          <w:p w:rsidR="00373E14" w:rsidRPr="00373E14" w:rsidRDefault="00373E14" w:rsidP="00373E14">
            <w:pPr>
              <w:rPr>
                <w:rFonts w:ascii="Book Antiqua" w:eastAsia="Times New Roman" w:hAnsi="Book Antiqua" w:cs="Calibri"/>
                <w:sz w:val="16"/>
                <w:szCs w:val="16"/>
              </w:rPr>
            </w:pPr>
          </w:p>
        </w:tc>
      </w:tr>
      <w:tr w:rsidR="00373E14" w:rsidRPr="00373E14" w:rsidTr="00340097">
        <w:trPr>
          <w:trHeight w:val="476"/>
        </w:trPr>
        <w:tc>
          <w:tcPr>
            <w:tcW w:w="751" w:type="pct"/>
            <w:vMerge w:val="restart"/>
            <w:vAlign w:val="center"/>
          </w:tcPr>
          <w:p w:rsidR="00373E14" w:rsidRPr="00373E14" w:rsidRDefault="00373E14" w:rsidP="00373E14">
            <w:pPr>
              <w:spacing w:after="12"/>
              <w:ind w:left="34"/>
              <w:rPr>
                <w:rFonts w:ascii="Book Antiqua" w:eastAsia="Times New Roman" w:hAnsi="Book Antiqua" w:cs="Times New Roman"/>
                <w:b/>
                <w:sz w:val="16"/>
                <w:szCs w:val="16"/>
              </w:rPr>
            </w:pPr>
            <w:r w:rsidRPr="00373E14">
              <w:rPr>
                <w:rFonts w:ascii="Book Antiqua" w:eastAsia="Times New Roman" w:hAnsi="Book Antiqua" w:cs="Times New Roman"/>
                <w:b/>
                <w:sz w:val="16"/>
                <w:szCs w:val="16"/>
              </w:rPr>
              <w:t>Programme de Filet de</w:t>
            </w:r>
          </w:p>
          <w:p w:rsidR="00373E14" w:rsidRPr="00373E14" w:rsidRDefault="00373E14" w:rsidP="00373E14">
            <w:pPr>
              <w:spacing w:after="33"/>
              <w:ind w:left="34"/>
              <w:rPr>
                <w:rFonts w:ascii="Book Antiqua" w:eastAsia="Times New Roman" w:hAnsi="Book Antiqua" w:cs="Times New Roman"/>
                <w:b/>
                <w:sz w:val="16"/>
                <w:szCs w:val="16"/>
              </w:rPr>
            </w:pPr>
            <w:r w:rsidRPr="00373E14">
              <w:rPr>
                <w:rFonts w:ascii="Book Antiqua" w:eastAsia="Times New Roman" w:hAnsi="Book Antiqua" w:cs="Times New Roman"/>
                <w:b/>
                <w:sz w:val="16"/>
                <w:szCs w:val="16"/>
              </w:rPr>
              <w:t>Sécurité Sociale</w:t>
            </w:r>
          </w:p>
          <w:p w:rsidR="00373E14" w:rsidRPr="00373E14" w:rsidRDefault="00373E14" w:rsidP="00373E14">
            <w:pPr>
              <w:spacing w:after="21"/>
              <w:ind w:left="29"/>
              <w:rPr>
                <w:rFonts w:ascii="Book Antiqua" w:eastAsia="Times New Roman" w:hAnsi="Book Antiqua" w:cs="Times New Roman"/>
                <w:b/>
                <w:sz w:val="16"/>
                <w:szCs w:val="16"/>
              </w:rPr>
            </w:pPr>
            <w:r w:rsidRPr="00373E14">
              <w:rPr>
                <w:rFonts w:ascii="Book Antiqua" w:eastAsia="Times New Roman" w:hAnsi="Book Antiqua" w:cs="Times New Roman"/>
                <w:b/>
                <w:sz w:val="16"/>
                <w:szCs w:val="16"/>
              </w:rPr>
              <w:t>Temporaire et</w:t>
            </w:r>
          </w:p>
          <w:p w:rsidR="00373E14" w:rsidRPr="00373E14" w:rsidRDefault="00373E14" w:rsidP="00373E14">
            <w:pPr>
              <w:spacing w:after="65"/>
              <w:ind w:left="34"/>
              <w:rPr>
                <w:rFonts w:ascii="Book Antiqua" w:eastAsia="Times New Roman" w:hAnsi="Book Antiqua" w:cs="Times New Roman"/>
                <w:b/>
                <w:sz w:val="16"/>
                <w:szCs w:val="16"/>
              </w:rPr>
            </w:pPr>
            <w:r w:rsidRPr="00373E14">
              <w:rPr>
                <w:rFonts w:ascii="Book Antiqua" w:eastAsia="Times New Roman" w:hAnsi="Book Antiqua" w:cs="Times New Roman"/>
                <w:b/>
                <w:sz w:val="16"/>
                <w:szCs w:val="16"/>
              </w:rPr>
              <w:t>Compétences pour les</w:t>
            </w:r>
          </w:p>
          <w:p w:rsidR="00373E14" w:rsidRPr="00373E14" w:rsidRDefault="00373E14" w:rsidP="00373E14">
            <w:pPr>
              <w:rPr>
                <w:rFonts w:ascii="Book Antiqua" w:eastAsia="Times New Roman" w:hAnsi="Book Antiqua" w:cs="Times New Roman"/>
                <w:b/>
                <w:sz w:val="16"/>
                <w:szCs w:val="16"/>
              </w:rPr>
            </w:pPr>
            <w:r w:rsidRPr="00373E14">
              <w:rPr>
                <w:rFonts w:ascii="Book Antiqua" w:eastAsia="Times New Roman" w:hAnsi="Book Antiqua" w:cs="Times New Roman"/>
                <w:b/>
                <w:sz w:val="16"/>
                <w:szCs w:val="16"/>
              </w:rPr>
              <w:t>Jeunes (BID, HA-L1137)</w:t>
            </w: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Renforcement institutionnel / Démarrage de la Phase de test de la plateforme technologique d’intermédiation du travail dans l’Ouest ;</w:t>
            </w:r>
          </w:p>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Démarrage de l’enquête de diagnostic du marché du travail et des ressources</w:t>
            </w:r>
          </w:p>
        </w:tc>
        <w:tc>
          <w:tcPr>
            <w:tcW w:w="1078" w:type="pct"/>
            <w:vAlign w:val="center"/>
          </w:tcPr>
          <w:p w:rsidR="00373E14" w:rsidRPr="00373E14" w:rsidRDefault="00373E14"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Le MAST</w:t>
            </w:r>
          </w:p>
        </w:tc>
        <w:tc>
          <w:tcPr>
            <w:tcW w:w="698" w:type="pct"/>
            <w:vMerge w:val="restart"/>
            <w:vAlign w:val="center"/>
          </w:tcPr>
          <w:p w:rsidR="00373E14" w:rsidRPr="00373E14" w:rsidRDefault="00373E14" w:rsidP="00373E14">
            <w:pPr>
              <w:spacing w:line="276" w:lineRule="auto"/>
              <w:jc w:val="both"/>
              <w:rPr>
                <w:rFonts w:ascii="Book Antiqua" w:hAnsi="Book Antiqua"/>
                <w:bCs/>
                <w:sz w:val="16"/>
                <w:szCs w:val="16"/>
                <w:highlight w:val="yellow"/>
                <w:shd w:val="clear" w:color="auto" w:fill="FFFFFF"/>
              </w:rPr>
            </w:pPr>
            <w:r w:rsidRPr="00373E14">
              <w:rPr>
                <w:rFonts w:ascii="Book Antiqua" w:hAnsi="Book Antiqua" w:cs="Calibri"/>
                <w:bCs/>
                <w:sz w:val="16"/>
                <w:szCs w:val="16"/>
              </w:rPr>
              <w:t xml:space="preserve">3,603,335.06 </w:t>
            </w:r>
          </w:p>
        </w:tc>
        <w:tc>
          <w:tcPr>
            <w:tcW w:w="318" w:type="pct"/>
            <w:vMerge w:val="restart"/>
            <w:vAlign w:val="center"/>
          </w:tcPr>
          <w:p w:rsidR="00373E14" w:rsidRPr="00373E14" w:rsidRDefault="00373E14" w:rsidP="00373E14">
            <w:pPr>
              <w:spacing w:line="276" w:lineRule="auto"/>
              <w:jc w:val="both"/>
              <w:rPr>
                <w:rFonts w:ascii="Book Antiqua" w:hAnsi="Book Antiqua" w:cs="Calibri"/>
                <w:bCs/>
                <w:sz w:val="16"/>
                <w:szCs w:val="16"/>
              </w:rPr>
            </w:pPr>
            <w:r w:rsidRPr="00373E14">
              <w:rPr>
                <w:rFonts w:ascii="Book Antiqua" w:hAnsi="Book Antiqua" w:cs="Calibri"/>
                <w:bCs/>
                <w:sz w:val="16"/>
                <w:szCs w:val="16"/>
              </w:rPr>
              <w:t>USD</w:t>
            </w:r>
          </w:p>
        </w:tc>
      </w:tr>
      <w:tr w:rsidR="009A1E83" w:rsidRPr="00373E14" w:rsidTr="00340097">
        <w:trPr>
          <w:trHeight w:val="476"/>
        </w:trPr>
        <w:tc>
          <w:tcPr>
            <w:tcW w:w="751" w:type="pct"/>
            <w:vMerge/>
            <w:vAlign w:val="center"/>
          </w:tcPr>
          <w:p w:rsidR="009A1E83" w:rsidRPr="00373E14" w:rsidRDefault="009A1E83" w:rsidP="00373E14">
            <w:pPr>
              <w:spacing w:after="12"/>
              <w:ind w:left="34"/>
              <w:rPr>
                <w:rFonts w:ascii="Book Antiqua" w:eastAsia="Times New Roman" w:hAnsi="Book Antiqua" w:cs="Times New Roman"/>
                <w:b/>
                <w:sz w:val="16"/>
                <w:szCs w:val="16"/>
              </w:rPr>
            </w:pPr>
          </w:p>
        </w:tc>
        <w:tc>
          <w:tcPr>
            <w:tcW w:w="2154" w:type="pct"/>
            <w:vAlign w:val="center"/>
          </w:tcPr>
          <w:p w:rsidR="009A1E83" w:rsidRPr="00373E14" w:rsidRDefault="009A1E83" w:rsidP="00373E14">
            <w:pPr>
              <w:numPr>
                <w:ilvl w:val="0"/>
                <w:numId w:val="1"/>
              </w:numPr>
              <w:spacing w:line="276" w:lineRule="auto"/>
              <w:ind w:left="260" w:hanging="180"/>
              <w:jc w:val="both"/>
              <w:rPr>
                <w:rFonts w:ascii="Book Antiqua" w:hAnsi="Book Antiqua"/>
                <w:sz w:val="16"/>
                <w:szCs w:val="16"/>
              </w:rPr>
            </w:pPr>
          </w:p>
        </w:tc>
        <w:tc>
          <w:tcPr>
            <w:tcW w:w="1078" w:type="pct"/>
            <w:vAlign w:val="center"/>
          </w:tcPr>
          <w:p w:rsidR="009A1E83" w:rsidRPr="00373E14" w:rsidRDefault="009A1E83" w:rsidP="00373E14">
            <w:pPr>
              <w:spacing w:line="276" w:lineRule="auto"/>
              <w:jc w:val="both"/>
              <w:rPr>
                <w:rFonts w:ascii="Book Antiqua" w:hAnsi="Book Antiqua"/>
                <w:bCs/>
                <w:sz w:val="16"/>
                <w:szCs w:val="16"/>
                <w:shd w:val="clear" w:color="auto" w:fill="FFFFFF"/>
              </w:rPr>
            </w:pPr>
          </w:p>
        </w:tc>
        <w:tc>
          <w:tcPr>
            <w:tcW w:w="698" w:type="pct"/>
            <w:vMerge/>
            <w:vAlign w:val="center"/>
          </w:tcPr>
          <w:p w:rsidR="009A1E83" w:rsidRPr="00373E14" w:rsidRDefault="009A1E83" w:rsidP="00373E14">
            <w:pPr>
              <w:spacing w:line="276" w:lineRule="auto"/>
              <w:jc w:val="both"/>
              <w:rPr>
                <w:rFonts w:ascii="Book Antiqua" w:hAnsi="Book Antiqua" w:cs="Calibri"/>
                <w:bCs/>
                <w:sz w:val="16"/>
                <w:szCs w:val="16"/>
              </w:rPr>
            </w:pPr>
          </w:p>
        </w:tc>
        <w:tc>
          <w:tcPr>
            <w:tcW w:w="318" w:type="pct"/>
            <w:vMerge/>
            <w:vAlign w:val="center"/>
          </w:tcPr>
          <w:p w:rsidR="009A1E83" w:rsidRPr="00373E14" w:rsidRDefault="009A1E83" w:rsidP="00373E14">
            <w:pPr>
              <w:spacing w:line="276" w:lineRule="auto"/>
              <w:jc w:val="both"/>
              <w:rPr>
                <w:rFonts w:ascii="Book Antiqua" w:hAnsi="Book Antiqua" w:cs="Calibri"/>
                <w:bCs/>
                <w:sz w:val="16"/>
                <w:szCs w:val="16"/>
              </w:rPr>
            </w:pPr>
          </w:p>
        </w:tc>
      </w:tr>
      <w:tr w:rsidR="00373E14" w:rsidRPr="00373E14" w:rsidTr="00340097">
        <w:trPr>
          <w:trHeight w:val="476"/>
        </w:trPr>
        <w:tc>
          <w:tcPr>
            <w:tcW w:w="751" w:type="pct"/>
            <w:vMerge/>
            <w:vAlign w:val="center"/>
          </w:tcPr>
          <w:p w:rsidR="00373E14" w:rsidRPr="00373E14" w:rsidRDefault="00373E14" w:rsidP="00373E14">
            <w:pPr>
              <w:rPr>
                <w:rFonts w:ascii="Book Antiqua" w:eastAsia="Times New Roman" w:hAnsi="Book Antiqua" w:cs="Times New Roman"/>
                <w:b/>
                <w:sz w:val="16"/>
                <w:szCs w:val="16"/>
                <w:highlight w:val="yellow"/>
              </w:rPr>
            </w:pPr>
          </w:p>
        </w:tc>
        <w:tc>
          <w:tcPr>
            <w:tcW w:w="2154" w:type="pct"/>
            <w:vAlign w:val="center"/>
          </w:tcPr>
          <w:p w:rsidR="00373E14" w:rsidRPr="00373E14" w:rsidRDefault="00373E14" w:rsidP="00373E14">
            <w:pPr>
              <w:numPr>
                <w:ilvl w:val="0"/>
                <w:numId w:val="1"/>
              </w:numPr>
              <w:spacing w:before="240" w:line="276" w:lineRule="auto"/>
              <w:ind w:left="260" w:hanging="180"/>
              <w:jc w:val="both"/>
              <w:rPr>
                <w:rFonts w:ascii="Book Antiqua" w:hAnsi="Book Antiqua"/>
                <w:sz w:val="16"/>
                <w:szCs w:val="16"/>
              </w:rPr>
            </w:pPr>
            <w:r w:rsidRPr="00373E14">
              <w:rPr>
                <w:rFonts w:ascii="Book Antiqua" w:hAnsi="Book Antiqua"/>
                <w:sz w:val="16"/>
                <w:szCs w:val="16"/>
              </w:rPr>
              <w:t xml:space="preserve">Lancement de </w:t>
            </w:r>
            <w:r w:rsidR="00C27E7C" w:rsidRPr="00373E14">
              <w:rPr>
                <w:rFonts w:ascii="Book Antiqua" w:hAnsi="Book Antiqua"/>
                <w:sz w:val="16"/>
                <w:szCs w:val="16"/>
              </w:rPr>
              <w:t>56 projets</w:t>
            </w:r>
            <w:r w:rsidRPr="00373E14">
              <w:rPr>
                <w:rFonts w:ascii="Book Antiqua" w:hAnsi="Book Antiqua"/>
                <w:sz w:val="16"/>
                <w:szCs w:val="16"/>
              </w:rPr>
              <w:t xml:space="preserve"> de création d’emplois : (i) Nord (Trou du Nord, Cap- Haïtien ; </w:t>
            </w:r>
            <w:proofErr w:type="spellStart"/>
            <w:r w:rsidRPr="00373E14">
              <w:rPr>
                <w:rFonts w:ascii="Book Antiqua" w:hAnsi="Book Antiqua"/>
                <w:sz w:val="16"/>
                <w:szCs w:val="16"/>
              </w:rPr>
              <w:lastRenderedPageBreak/>
              <w:t>Nord’Ouest</w:t>
            </w:r>
            <w:proofErr w:type="spellEnd"/>
            <w:r w:rsidRPr="00373E14">
              <w:rPr>
                <w:rFonts w:ascii="Book Antiqua" w:hAnsi="Book Antiqua"/>
                <w:sz w:val="16"/>
                <w:szCs w:val="16"/>
              </w:rPr>
              <w:t xml:space="preserve"> (Port-de-Paix, </w:t>
            </w:r>
            <w:proofErr w:type="spellStart"/>
            <w:r w:rsidRPr="00373E14">
              <w:rPr>
                <w:rFonts w:ascii="Book Antiqua" w:hAnsi="Book Antiqua"/>
                <w:sz w:val="16"/>
                <w:szCs w:val="16"/>
              </w:rPr>
              <w:t>Chansolme</w:t>
            </w:r>
            <w:proofErr w:type="spellEnd"/>
            <w:r w:rsidRPr="00373E14">
              <w:rPr>
                <w:rFonts w:ascii="Book Antiqua" w:hAnsi="Book Antiqua"/>
                <w:sz w:val="16"/>
                <w:szCs w:val="16"/>
              </w:rPr>
              <w:t xml:space="preserve">), Artibonite (Gonaïves), Ouest (Delmas, </w:t>
            </w:r>
            <w:proofErr w:type="spellStart"/>
            <w:r w:rsidRPr="00373E14">
              <w:rPr>
                <w:rFonts w:ascii="Book Antiqua" w:hAnsi="Book Antiqua"/>
                <w:sz w:val="16"/>
                <w:szCs w:val="16"/>
              </w:rPr>
              <w:t>Tabarre</w:t>
            </w:r>
            <w:proofErr w:type="spellEnd"/>
            <w:r w:rsidRPr="00373E14">
              <w:rPr>
                <w:rFonts w:ascii="Book Antiqua" w:hAnsi="Book Antiqua"/>
                <w:sz w:val="16"/>
                <w:szCs w:val="16"/>
              </w:rPr>
              <w:t xml:space="preserve">, Carrefour, Petit </w:t>
            </w:r>
            <w:proofErr w:type="spellStart"/>
            <w:r w:rsidRPr="00373E14">
              <w:rPr>
                <w:rFonts w:ascii="Book Antiqua" w:hAnsi="Book Antiqua"/>
                <w:sz w:val="16"/>
                <w:szCs w:val="16"/>
              </w:rPr>
              <w:t>Goâve</w:t>
            </w:r>
            <w:proofErr w:type="spellEnd"/>
            <w:r w:rsidRPr="00373E14">
              <w:rPr>
                <w:rFonts w:ascii="Book Antiqua" w:hAnsi="Book Antiqua"/>
                <w:sz w:val="16"/>
                <w:szCs w:val="16"/>
              </w:rPr>
              <w:t>, Nippes (</w:t>
            </w:r>
            <w:proofErr w:type="spellStart"/>
            <w:r w:rsidRPr="00373E14">
              <w:rPr>
                <w:rFonts w:ascii="Book Antiqua" w:hAnsi="Book Antiqua"/>
                <w:sz w:val="16"/>
                <w:szCs w:val="16"/>
              </w:rPr>
              <w:t>Miragoâne</w:t>
            </w:r>
            <w:proofErr w:type="spellEnd"/>
            <w:r w:rsidRPr="00373E14">
              <w:rPr>
                <w:rFonts w:ascii="Book Antiqua" w:hAnsi="Book Antiqua"/>
                <w:sz w:val="16"/>
                <w:szCs w:val="16"/>
              </w:rPr>
              <w:t>)</w:t>
            </w:r>
          </w:p>
        </w:tc>
        <w:tc>
          <w:tcPr>
            <w:tcW w:w="1078" w:type="pct"/>
            <w:vAlign w:val="center"/>
          </w:tcPr>
          <w:p w:rsidR="00373E14" w:rsidRPr="00373E14" w:rsidRDefault="00C27E7C"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lastRenderedPageBreak/>
              <w:t>3,343 jeunes</w:t>
            </w:r>
          </w:p>
        </w:tc>
        <w:tc>
          <w:tcPr>
            <w:tcW w:w="698" w:type="pct"/>
            <w:vMerge/>
            <w:vAlign w:val="center"/>
          </w:tcPr>
          <w:p w:rsidR="00373E14" w:rsidRPr="00373E14" w:rsidRDefault="00373E14" w:rsidP="00373E14">
            <w:pPr>
              <w:numPr>
                <w:ilvl w:val="0"/>
                <w:numId w:val="1"/>
              </w:numPr>
              <w:spacing w:line="276" w:lineRule="auto"/>
              <w:ind w:left="260" w:hanging="180"/>
              <w:jc w:val="both"/>
              <w:rPr>
                <w:rFonts w:ascii="Book Antiqua" w:hAnsi="Book Antiqua"/>
                <w:bCs/>
                <w:sz w:val="16"/>
                <w:szCs w:val="16"/>
                <w:highlight w:val="yellow"/>
                <w:shd w:val="clear" w:color="auto" w:fill="FFFFFF"/>
              </w:rPr>
            </w:pPr>
          </w:p>
        </w:tc>
        <w:tc>
          <w:tcPr>
            <w:tcW w:w="318" w:type="pct"/>
            <w:vMerge/>
            <w:vAlign w:val="center"/>
          </w:tcPr>
          <w:p w:rsidR="00373E14" w:rsidRPr="00373E14" w:rsidRDefault="00373E14" w:rsidP="00373E14">
            <w:pPr>
              <w:numPr>
                <w:ilvl w:val="0"/>
                <w:numId w:val="1"/>
              </w:numPr>
              <w:spacing w:line="276" w:lineRule="auto"/>
              <w:ind w:left="260" w:hanging="180"/>
              <w:jc w:val="both"/>
              <w:rPr>
                <w:rFonts w:ascii="Book Antiqua" w:hAnsi="Book Antiqua"/>
                <w:bCs/>
                <w:sz w:val="16"/>
                <w:szCs w:val="16"/>
                <w:highlight w:val="yellow"/>
                <w:shd w:val="clear" w:color="auto" w:fill="FFFFFF"/>
              </w:rPr>
            </w:pPr>
          </w:p>
        </w:tc>
      </w:tr>
      <w:tr w:rsidR="00373E14" w:rsidRPr="00373E14" w:rsidTr="00340097">
        <w:trPr>
          <w:trHeight w:val="476"/>
        </w:trPr>
        <w:tc>
          <w:tcPr>
            <w:tcW w:w="751" w:type="pct"/>
            <w:vMerge/>
            <w:vAlign w:val="center"/>
          </w:tcPr>
          <w:p w:rsidR="00373E14" w:rsidRPr="00373E14" w:rsidRDefault="00373E14" w:rsidP="00373E14">
            <w:pPr>
              <w:rPr>
                <w:rFonts w:ascii="Book Antiqua" w:eastAsia="Times New Roman" w:hAnsi="Book Antiqua" w:cs="Times New Roman"/>
                <w:b/>
                <w:sz w:val="16"/>
                <w:szCs w:val="16"/>
                <w:highlight w:val="yellow"/>
              </w:rPr>
            </w:pP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 xml:space="preserve">Formation en compétence socio émotionnelle : (i) Nord (Trou du Nord, Cap- Haïtien ; </w:t>
            </w:r>
            <w:proofErr w:type="spellStart"/>
            <w:r w:rsidRPr="00373E14">
              <w:rPr>
                <w:rFonts w:ascii="Book Antiqua" w:hAnsi="Book Antiqua"/>
                <w:sz w:val="16"/>
                <w:szCs w:val="16"/>
              </w:rPr>
              <w:t>Nord’Ouest</w:t>
            </w:r>
            <w:proofErr w:type="spellEnd"/>
            <w:r w:rsidRPr="00373E14">
              <w:rPr>
                <w:rFonts w:ascii="Book Antiqua" w:hAnsi="Book Antiqua"/>
                <w:sz w:val="16"/>
                <w:szCs w:val="16"/>
              </w:rPr>
              <w:t xml:space="preserve"> (Port de Paix, </w:t>
            </w:r>
            <w:proofErr w:type="spellStart"/>
            <w:r w:rsidRPr="00373E14">
              <w:rPr>
                <w:rFonts w:ascii="Book Antiqua" w:hAnsi="Book Antiqua"/>
                <w:sz w:val="16"/>
                <w:szCs w:val="16"/>
              </w:rPr>
              <w:t>Chansolme</w:t>
            </w:r>
            <w:proofErr w:type="spellEnd"/>
            <w:r w:rsidRPr="00373E14">
              <w:rPr>
                <w:rFonts w:ascii="Book Antiqua" w:hAnsi="Book Antiqua"/>
                <w:sz w:val="16"/>
                <w:szCs w:val="16"/>
              </w:rPr>
              <w:t xml:space="preserve">), Artibonite (Gonaïves), Ouest (Delmas, </w:t>
            </w:r>
            <w:proofErr w:type="spellStart"/>
            <w:r w:rsidRPr="00373E14">
              <w:rPr>
                <w:rFonts w:ascii="Book Antiqua" w:hAnsi="Book Antiqua"/>
                <w:sz w:val="16"/>
                <w:szCs w:val="16"/>
              </w:rPr>
              <w:t>Tabarre</w:t>
            </w:r>
            <w:proofErr w:type="spellEnd"/>
            <w:r w:rsidRPr="00373E14">
              <w:rPr>
                <w:rFonts w:ascii="Book Antiqua" w:hAnsi="Book Antiqua"/>
                <w:sz w:val="16"/>
                <w:szCs w:val="16"/>
              </w:rPr>
              <w:t xml:space="preserve">, Carrefour, Petit </w:t>
            </w:r>
            <w:proofErr w:type="spellStart"/>
            <w:r w:rsidRPr="00373E14">
              <w:rPr>
                <w:rFonts w:ascii="Book Antiqua" w:hAnsi="Book Antiqua"/>
                <w:sz w:val="16"/>
                <w:szCs w:val="16"/>
              </w:rPr>
              <w:t>Goâve</w:t>
            </w:r>
            <w:proofErr w:type="spellEnd"/>
            <w:r w:rsidRPr="00373E14">
              <w:rPr>
                <w:rFonts w:ascii="Book Antiqua" w:hAnsi="Book Antiqua"/>
                <w:sz w:val="16"/>
                <w:szCs w:val="16"/>
              </w:rPr>
              <w:t>, Nippes (</w:t>
            </w:r>
            <w:proofErr w:type="spellStart"/>
            <w:r w:rsidRPr="00373E14">
              <w:rPr>
                <w:rFonts w:ascii="Book Antiqua" w:hAnsi="Book Antiqua"/>
                <w:sz w:val="16"/>
                <w:szCs w:val="16"/>
              </w:rPr>
              <w:t>Miragoâne</w:t>
            </w:r>
            <w:proofErr w:type="spellEnd"/>
            <w:r w:rsidRPr="00373E14">
              <w:rPr>
                <w:rFonts w:ascii="Book Antiqua" w:hAnsi="Book Antiqua"/>
                <w:sz w:val="16"/>
                <w:szCs w:val="16"/>
              </w:rPr>
              <w:t>)</w:t>
            </w:r>
          </w:p>
        </w:tc>
        <w:tc>
          <w:tcPr>
            <w:tcW w:w="1078" w:type="pct"/>
            <w:vAlign w:val="center"/>
          </w:tcPr>
          <w:p w:rsidR="00373E14" w:rsidRPr="00373E14" w:rsidRDefault="00373E14"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1,185 jeunes dont 38 % de femmes</w:t>
            </w:r>
          </w:p>
        </w:tc>
        <w:tc>
          <w:tcPr>
            <w:tcW w:w="698" w:type="pct"/>
            <w:vMerge/>
            <w:vAlign w:val="center"/>
          </w:tcPr>
          <w:p w:rsidR="00373E14" w:rsidRPr="00373E14" w:rsidRDefault="00373E14" w:rsidP="00373E14">
            <w:pPr>
              <w:numPr>
                <w:ilvl w:val="0"/>
                <w:numId w:val="1"/>
              </w:numPr>
              <w:spacing w:line="276" w:lineRule="auto"/>
              <w:ind w:left="260" w:hanging="180"/>
              <w:jc w:val="both"/>
              <w:rPr>
                <w:rFonts w:ascii="Book Antiqua" w:hAnsi="Book Antiqua"/>
                <w:bCs/>
                <w:sz w:val="16"/>
                <w:szCs w:val="16"/>
                <w:highlight w:val="yellow"/>
                <w:shd w:val="clear" w:color="auto" w:fill="FFFFFF"/>
              </w:rPr>
            </w:pPr>
          </w:p>
        </w:tc>
        <w:tc>
          <w:tcPr>
            <w:tcW w:w="318" w:type="pct"/>
            <w:vMerge/>
            <w:vAlign w:val="center"/>
          </w:tcPr>
          <w:p w:rsidR="00373E14" w:rsidRPr="00373E14" w:rsidRDefault="00373E14" w:rsidP="00373E14">
            <w:pPr>
              <w:numPr>
                <w:ilvl w:val="0"/>
                <w:numId w:val="1"/>
              </w:numPr>
              <w:spacing w:line="276" w:lineRule="auto"/>
              <w:ind w:left="260" w:hanging="180"/>
              <w:jc w:val="both"/>
              <w:rPr>
                <w:rFonts w:ascii="Book Antiqua" w:hAnsi="Book Antiqua"/>
                <w:bCs/>
                <w:sz w:val="16"/>
                <w:szCs w:val="16"/>
                <w:highlight w:val="yellow"/>
                <w:shd w:val="clear" w:color="auto" w:fill="FFFFFF"/>
              </w:rPr>
            </w:pPr>
          </w:p>
        </w:tc>
      </w:tr>
      <w:tr w:rsidR="00373E14" w:rsidRPr="00373E14" w:rsidTr="00340097">
        <w:trPr>
          <w:trHeight w:val="476"/>
        </w:trPr>
        <w:tc>
          <w:tcPr>
            <w:tcW w:w="751" w:type="pct"/>
            <w:vMerge/>
            <w:vAlign w:val="center"/>
          </w:tcPr>
          <w:p w:rsidR="00373E14" w:rsidRPr="00373E14" w:rsidRDefault="00373E14" w:rsidP="00373E14">
            <w:pPr>
              <w:rPr>
                <w:rFonts w:ascii="Book Antiqua" w:eastAsia="Times New Roman" w:hAnsi="Book Antiqua" w:cs="Times New Roman"/>
                <w:b/>
                <w:sz w:val="16"/>
                <w:szCs w:val="16"/>
                <w:highlight w:val="yellow"/>
              </w:rPr>
            </w:pP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 xml:space="preserve">Formation professionnelle en cours : i) Nord (Cap haïtien, Trou du Nord), </w:t>
            </w:r>
            <w:proofErr w:type="gramStart"/>
            <w:r w:rsidRPr="00373E14">
              <w:rPr>
                <w:rFonts w:ascii="Book Antiqua" w:hAnsi="Book Antiqua"/>
                <w:sz w:val="16"/>
                <w:szCs w:val="16"/>
              </w:rPr>
              <w:t>ii)</w:t>
            </w:r>
            <w:proofErr w:type="spellStart"/>
            <w:r w:rsidRPr="00373E14">
              <w:rPr>
                <w:rFonts w:ascii="Book Antiqua" w:hAnsi="Book Antiqua"/>
                <w:sz w:val="16"/>
                <w:szCs w:val="16"/>
              </w:rPr>
              <w:t>Nord’Est</w:t>
            </w:r>
            <w:proofErr w:type="spellEnd"/>
            <w:proofErr w:type="gramEnd"/>
            <w:r w:rsidRPr="00373E14">
              <w:rPr>
                <w:rFonts w:ascii="Book Antiqua" w:hAnsi="Book Antiqua"/>
                <w:sz w:val="16"/>
                <w:szCs w:val="16"/>
              </w:rPr>
              <w:t xml:space="preserve"> (Fort Liberté, Ouanaminthe), iii) Ouest (Cité Soleil, Port-au-Prince, Carrefour)</w:t>
            </w:r>
          </w:p>
        </w:tc>
        <w:tc>
          <w:tcPr>
            <w:tcW w:w="1078" w:type="pct"/>
            <w:vAlign w:val="center"/>
          </w:tcPr>
          <w:p w:rsidR="00373E14" w:rsidRPr="00373E14" w:rsidRDefault="00373E14"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1500 Jeunes âgés de 18 à 29 ans</w:t>
            </w:r>
          </w:p>
        </w:tc>
        <w:tc>
          <w:tcPr>
            <w:tcW w:w="698" w:type="pct"/>
            <w:vMerge/>
            <w:vAlign w:val="center"/>
          </w:tcPr>
          <w:p w:rsidR="00373E14" w:rsidRPr="00373E14" w:rsidRDefault="00373E14" w:rsidP="00373E14">
            <w:pPr>
              <w:numPr>
                <w:ilvl w:val="0"/>
                <w:numId w:val="1"/>
              </w:numPr>
              <w:spacing w:line="276" w:lineRule="auto"/>
              <w:ind w:left="260" w:hanging="180"/>
              <w:jc w:val="both"/>
              <w:rPr>
                <w:rFonts w:ascii="Book Antiqua" w:hAnsi="Book Antiqua"/>
                <w:bCs/>
                <w:sz w:val="16"/>
                <w:szCs w:val="16"/>
                <w:highlight w:val="yellow"/>
                <w:shd w:val="clear" w:color="auto" w:fill="FFFFFF"/>
              </w:rPr>
            </w:pPr>
          </w:p>
        </w:tc>
        <w:tc>
          <w:tcPr>
            <w:tcW w:w="318" w:type="pct"/>
            <w:vMerge/>
            <w:vAlign w:val="center"/>
          </w:tcPr>
          <w:p w:rsidR="00373E14" w:rsidRPr="00373E14" w:rsidRDefault="00373E14" w:rsidP="00373E14">
            <w:pPr>
              <w:numPr>
                <w:ilvl w:val="0"/>
                <w:numId w:val="1"/>
              </w:numPr>
              <w:spacing w:line="276" w:lineRule="auto"/>
              <w:ind w:left="260" w:hanging="180"/>
              <w:jc w:val="both"/>
              <w:rPr>
                <w:rFonts w:ascii="Book Antiqua" w:hAnsi="Book Antiqua"/>
                <w:bCs/>
                <w:sz w:val="16"/>
                <w:szCs w:val="16"/>
                <w:highlight w:val="yellow"/>
                <w:shd w:val="clear" w:color="auto" w:fill="FFFFFF"/>
              </w:rPr>
            </w:pPr>
          </w:p>
        </w:tc>
      </w:tr>
      <w:tr w:rsidR="00373E14" w:rsidRPr="00373E14" w:rsidTr="00340097">
        <w:trPr>
          <w:trHeight w:val="476"/>
        </w:trPr>
        <w:tc>
          <w:tcPr>
            <w:tcW w:w="751" w:type="pct"/>
            <w:vMerge/>
            <w:vAlign w:val="center"/>
          </w:tcPr>
          <w:p w:rsidR="00373E14" w:rsidRPr="00373E14" w:rsidRDefault="00373E14" w:rsidP="00373E14">
            <w:pPr>
              <w:rPr>
                <w:rFonts w:ascii="Book Antiqua" w:eastAsia="Times New Roman" w:hAnsi="Book Antiqua" w:cs="Times New Roman"/>
                <w:b/>
                <w:sz w:val="16"/>
                <w:szCs w:val="16"/>
                <w:highlight w:val="yellow"/>
              </w:rPr>
            </w:pP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Poursuite du programme d’incubation entreprise dans l’Ouest (Pétion Ville)</w:t>
            </w:r>
          </w:p>
        </w:tc>
        <w:tc>
          <w:tcPr>
            <w:tcW w:w="1078" w:type="pct"/>
            <w:vAlign w:val="center"/>
          </w:tcPr>
          <w:p w:rsidR="00373E14" w:rsidRPr="00373E14" w:rsidRDefault="00373E14"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15 nouvelles entreprises</w:t>
            </w:r>
          </w:p>
        </w:tc>
        <w:tc>
          <w:tcPr>
            <w:tcW w:w="698" w:type="pct"/>
            <w:vMerge/>
            <w:vAlign w:val="center"/>
          </w:tcPr>
          <w:p w:rsidR="00373E14" w:rsidRPr="00373E14" w:rsidRDefault="00373E14" w:rsidP="00373E14">
            <w:pPr>
              <w:numPr>
                <w:ilvl w:val="0"/>
                <w:numId w:val="1"/>
              </w:numPr>
              <w:spacing w:line="276" w:lineRule="auto"/>
              <w:ind w:left="260" w:hanging="180"/>
              <w:jc w:val="both"/>
              <w:rPr>
                <w:rFonts w:ascii="Book Antiqua" w:hAnsi="Book Antiqua"/>
                <w:bCs/>
                <w:sz w:val="16"/>
                <w:szCs w:val="16"/>
                <w:highlight w:val="yellow"/>
                <w:shd w:val="clear" w:color="auto" w:fill="FFFFFF"/>
              </w:rPr>
            </w:pPr>
          </w:p>
        </w:tc>
        <w:tc>
          <w:tcPr>
            <w:tcW w:w="318" w:type="pct"/>
            <w:vMerge/>
            <w:vAlign w:val="center"/>
          </w:tcPr>
          <w:p w:rsidR="00373E14" w:rsidRPr="00373E14" w:rsidRDefault="00373E14" w:rsidP="00373E14">
            <w:pPr>
              <w:numPr>
                <w:ilvl w:val="0"/>
                <w:numId w:val="1"/>
              </w:numPr>
              <w:spacing w:line="276" w:lineRule="auto"/>
              <w:ind w:left="260" w:hanging="180"/>
              <w:jc w:val="both"/>
              <w:rPr>
                <w:rFonts w:ascii="Book Antiqua" w:hAnsi="Book Antiqua"/>
                <w:bCs/>
                <w:sz w:val="16"/>
                <w:szCs w:val="16"/>
                <w:highlight w:val="yellow"/>
                <w:shd w:val="clear" w:color="auto" w:fill="FFFFFF"/>
              </w:rPr>
            </w:pPr>
          </w:p>
        </w:tc>
      </w:tr>
      <w:tr w:rsidR="00373E14" w:rsidRPr="00373E14" w:rsidTr="00340097">
        <w:trPr>
          <w:trHeight w:val="476"/>
        </w:trPr>
        <w:tc>
          <w:tcPr>
            <w:tcW w:w="751" w:type="pct"/>
            <w:vMerge/>
            <w:vAlign w:val="center"/>
          </w:tcPr>
          <w:p w:rsidR="00373E14" w:rsidRPr="00373E14" w:rsidRDefault="00373E14" w:rsidP="00373E14">
            <w:pPr>
              <w:rPr>
                <w:rFonts w:ascii="Book Antiqua" w:eastAsia="Times New Roman" w:hAnsi="Book Antiqua" w:cs="Times New Roman"/>
                <w:b/>
                <w:sz w:val="16"/>
                <w:szCs w:val="16"/>
                <w:highlight w:val="yellow"/>
              </w:rPr>
            </w:pP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Formation en compétences numériques dans l’Ouest (Port-au-Prince) (</w:t>
            </w:r>
            <w:proofErr w:type="spellStart"/>
            <w:r w:rsidRPr="00373E14">
              <w:rPr>
                <w:rFonts w:ascii="Book Antiqua" w:hAnsi="Book Antiqua"/>
                <w:sz w:val="16"/>
                <w:szCs w:val="16"/>
              </w:rPr>
              <w:t>Bootcamp</w:t>
            </w:r>
            <w:proofErr w:type="spellEnd"/>
            <w:r w:rsidRPr="00373E14">
              <w:rPr>
                <w:rFonts w:ascii="Book Antiqua" w:hAnsi="Book Antiqua"/>
                <w:sz w:val="16"/>
                <w:szCs w:val="16"/>
              </w:rPr>
              <w:t xml:space="preserve">) /remise de certificat et placement en stage </w:t>
            </w:r>
          </w:p>
        </w:tc>
        <w:tc>
          <w:tcPr>
            <w:tcW w:w="1078" w:type="pct"/>
            <w:vAlign w:val="center"/>
          </w:tcPr>
          <w:p w:rsidR="00373E14" w:rsidRPr="00373E14" w:rsidRDefault="00373E14"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20 jeunes</w:t>
            </w:r>
          </w:p>
        </w:tc>
        <w:tc>
          <w:tcPr>
            <w:tcW w:w="698" w:type="pct"/>
            <w:vMerge/>
            <w:vAlign w:val="center"/>
          </w:tcPr>
          <w:p w:rsidR="00373E14" w:rsidRPr="00373E14" w:rsidRDefault="00373E14" w:rsidP="00373E14">
            <w:pPr>
              <w:numPr>
                <w:ilvl w:val="0"/>
                <w:numId w:val="1"/>
              </w:numPr>
              <w:spacing w:line="276" w:lineRule="auto"/>
              <w:ind w:left="260" w:hanging="180"/>
              <w:jc w:val="both"/>
              <w:rPr>
                <w:rFonts w:ascii="Book Antiqua" w:hAnsi="Book Antiqua"/>
                <w:bCs/>
                <w:sz w:val="16"/>
                <w:szCs w:val="16"/>
                <w:highlight w:val="yellow"/>
                <w:shd w:val="clear" w:color="auto" w:fill="FFFFFF"/>
              </w:rPr>
            </w:pPr>
          </w:p>
        </w:tc>
        <w:tc>
          <w:tcPr>
            <w:tcW w:w="318" w:type="pct"/>
            <w:vMerge/>
            <w:vAlign w:val="center"/>
          </w:tcPr>
          <w:p w:rsidR="00373E14" w:rsidRPr="00373E14" w:rsidRDefault="00373E14" w:rsidP="00373E14">
            <w:pPr>
              <w:numPr>
                <w:ilvl w:val="0"/>
                <w:numId w:val="1"/>
              </w:numPr>
              <w:spacing w:line="276" w:lineRule="auto"/>
              <w:ind w:left="260" w:hanging="180"/>
              <w:jc w:val="both"/>
              <w:rPr>
                <w:rFonts w:ascii="Book Antiqua" w:hAnsi="Book Antiqua"/>
                <w:bCs/>
                <w:sz w:val="16"/>
                <w:szCs w:val="16"/>
                <w:highlight w:val="yellow"/>
                <w:shd w:val="clear" w:color="auto" w:fill="FFFFFF"/>
              </w:rPr>
            </w:pPr>
          </w:p>
        </w:tc>
      </w:tr>
      <w:tr w:rsidR="00373E14" w:rsidRPr="00373E14" w:rsidTr="00340097">
        <w:trPr>
          <w:trHeight w:val="650"/>
        </w:trPr>
        <w:tc>
          <w:tcPr>
            <w:tcW w:w="751" w:type="pct"/>
            <w:vMerge w:val="restart"/>
            <w:vAlign w:val="center"/>
          </w:tcPr>
          <w:p w:rsidR="00373E14" w:rsidRPr="00373E14" w:rsidRDefault="00373E14" w:rsidP="00373E14">
            <w:pPr>
              <w:spacing w:line="276" w:lineRule="auto"/>
              <w:jc w:val="both"/>
              <w:rPr>
                <w:rFonts w:ascii="Book Antiqua" w:hAnsi="Book Antiqua"/>
                <w:b/>
                <w:bCs/>
                <w:sz w:val="16"/>
                <w:szCs w:val="16"/>
                <w:shd w:val="clear" w:color="auto" w:fill="FFFFFF"/>
              </w:rPr>
            </w:pPr>
            <w:r w:rsidRPr="00373E14">
              <w:rPr>
                <w:rFonts w:ascii="Book Antiqua" w:hAnsi="Book Antiqua"/>
                <w:b/>
                <w:bCs/>
                <w:sz w:val="16"/>
                <w:szCs w:val="16"/>
                <w:shd w:val="clear" w:color="auto" w:fill="FFFFFF"/>
              </w:rPr>
              <w:t>Programme d’Expansion des filets de sécurité pour les personnes vulnérables affectées par les conséquences socio-économiques du Corona Virus (BID, HA-J0001)</w:t>
            </w:r>
          </w:p>
          <w:p w:rsidR="00373E14" w:rsidRPr="00373E14" w:rsidRDefault="00373E14" w:rsidP="00373E14">
            <w:pPr>
              <w:rPr>
                <w:rFonts w:ascii="Book Antiqua" w:hAnsi="Book Antiqua"/>
                <w:b/>
                <w:bCs/>
                <w:color w:val="FF0000"/>
                <w:sz w:val="16"/>
                <w:szCs w:val="16"/>
                <w:highlight w:val="yellow"/>
                <w:shd w:val="clear" w:color="auto" w:fill="FFFFFF"/>
              </w:rPr>
            </w:pP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Distribution de transfert monétaires non-conditionnés de l’équivalent de USD 100 dans 8 Départements</w:t>
            </w:r>
          </w:p>
        </w:tc>
        <w:tc>
          <w:tcPr>
            <w:tcW w:w="1078" w:type="pct"/>
            <w:vAlign w:val="center"/>
          </w:tcPr>
          <w:p w:rsidR="00373E14" w:rsidRPr="00373E14" w:rsidRDefault="00373E14" w:rsidP="00373E14">
            <w:pPr>
              <w:rPr>
                <w:rFonts w:ascii="Book Antiqua" w:hAnsi="Book Antiqua"/>
                <w:color w:val="000000" w:themeColor="text1"/>
                <w:sz w:val="16"/>
                <w:szCs w:val="16"/>
                <w:shd w:val="clear" w:color="auto" w:fill="FFFFFF"/>
              </w:rPr>
            </w:pPr>
            <w:r w:rsidRPr="00373E14">
              <w:rPr>
                <w:rFonts w:ascii="Book Antiqua" w:hAnsi="Book Antiqua"/>
                <w:color w:val="000000" w:themeColor="text1"/>
                <w:sz w:val="16"/>
                <w:szCs w:val="16"/>
                <w:shd w:val="clear" w:color="auto" w:fill="FFFFFF"/>
              </w:rPr>
              <w:t xml:space="preserve">48 889 ménages vulnérables </w:t>
            </w:r>
          </w:p>
        </w:tc>
        <w:tc>
          <w:tcPr>
            <w:tcW w:w="698" w:type="pct"/>
            <w:vMerge w:val="restart"/>
            <w:vAlign w:val="center"/>
          </w:tcPr>
          <w:p w:rsidR="00373E14" w:rsidRPr="00373E14" w:rsidRDefault="00373E14" w:rsidP="00373E14">
            <w:pPr>
              <w:rPr>
                <w:rFonts w:ascii="Book Antiqua" w:eastAsia="Times New Roman" w:hAnsi="Book Antiqua" w:cs="Times New Roman"/>
                <w:bCs/>
                <w:sz w:val="16"/>
                <w:szCs w:val="16"/>
              </w:rPr>
            </w:pPr>
            <w:r w:rsidRPr="00373E14">
              <w:rPr>
                <w:rFonts w:ascii="Book Antiqua" w:eastAsia="Times New Roman" w:hAnsi="Book Antiqua" w:cs="Times New Roman"/>
                <w:bCs/>
                <w:sz w:val="16"/>
                <w:szCs w:val="16"/>
              </w:rPr>
              <w:t>7,369,255.00</w:t>
            </w:r>
          </w:p>
        </w:tc>
        <w:tc>
          <w:tcPr>
            <w:tcW w:w="318" w:type="pct"/>
            <w:vMerge w:val="restart"/>
            <w:vAlign w:val="center"/>
          </w:tcPr>
          <w:p w:rsidR="00373E14" w:rsidRPr="00373E14" w:rsidRDefault="00373E14" w:rsidP="00373E14">
            <w:pPr>
              <w:rPr>
                <w:rFonts w:ascii="Book Antiqua" w:eastAsia="Times New Roman" w:hAnsi="Book Antiqua" w:cs="Times New Roman"/>
                <w:bCs/>
                <w:sz w:val="16"/>
                <w:szCs w:val="16"/>
              </w:rPr>
            </w:pPr>
            <w:r w:rsidRPr="00373E14">
              <w:rPr>
                <w:rFonts w:ascii="Book Antiqua" w:eastAsia="Times New Roman" w:hAnsi="Book Antiqua" w:cs="Times New Roman"/>
                <w:bCs/>
                <w:sz w:val="16"/>
                <w:szCs w:val="16"/>
              </w:rPr>
              <w:t>USD</w:t>
            </w:r>
          </w:p>
        </w:tc>
      </w:tr>
      <w:tr w:rsidR="00373E14" w:rsidRPr="00373E14" w:rsidTr="00340097">
        <w:trPr>
          <w:trHeight w:val="650"/>
        </w:trPr>
        <w:tc>
          <w:tcPr>
            <w:tcW w:w="751" w:type="pct"/>
            <w:vMerge/>
            <w:vAlign w:val="center"/>
          </w:tcPr>
          <w:p w:rsidR="00373E14" w:rsidRPr="00373E14" w:rsidRDefault="00373E14" w:rsidP="00373E14">
            <w:pPr>
              <w:rPr>
                <w:rFonts w:ascii="Book Antiqua" w:hAnsi="Book Antiqua"/>
                <w:b/>
                <w:bCs/>
                <w:sz w:val="16"/>
                <w:szCs w:val="16"/>
                <w:highlight w:val="yellow"/>
                <w:shd w:val="clear" w:color="auto" w:fill="FFFFFF"/>
              </w:rPr>
            </w:pP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129 petits projets à haute intensité de main d’œuvre lancés dans les Départements de la Grand-Anse, des Nippes et du Nord-Ouest</w:t>
            </w:r>
          </w:p>
        </w:tc>
        <w:tc>
          <w:tcPr>
            <w:tcW w:w="1078" w:type="pct"/>
            <w:vAlign w:val="center"/>
          </w:tcPr>
          <w:p w:rsidR="00373E14" w:rsidRPr="00373E14" w:rsidRDefault="00373E14" w:rsidP="00373E14">
            <w:pPr>
              <w:rPr>
                <w:rFonts w:ascii="Book Antiqua" w:hAnsi="Book Antiqua"/>
                <w:color w:val="000000" w:themeColor="text1"/>
                <w:sz w:val="16"/>
                <w:szCs w:val="16"/>
                <w:shd w:val="clear" w:color="auto" w:fill="FFFFFF"/>
              </w:rPr>
            </w:pPr>
            <w:r w:rsidRPr="00373E14">
              <w:rPr>
                <w:rFonts w:ascii="Book Antiqua" w:hAnsi="Book Antiqua"/>
                <w:color w:val="000000" w:themeColor="text1"/>
                <w:sz w:val="16"/>
                <w:szCs w:val="16"/>
                <w:shd w:val="clear" w:color="auto" w:fill="FFFFFF"/>
              </w:rPr>
              <w:t>10 000 ménages vulnérables</w:t>
            </w:r>
          </w:p>
        </w:tc>
        <w:tc>
          <w:tcPr>
            <w:tcW w:w="698" w:type="pct"/>
            <w:vMerge/>
            <w:vAlign w:val="center"/>
          </w:tcPr>
          <w:p w:rsidR="00373E14" w:rsidRPr="00373E14" w:rsidRDefault="00373E14" w:rsidP="00373E14">
            <w:pPr>
              <w:rPr>
                <w:rFonts w:ascii="Book Antiqua" w:hAnsi="Book Antiqua"/>
                <w:bCs/>
                <w:sz w:val="16"/>
                <w:szCs w:val="16"/>
                <w:shd w:val="clear" w:color="auto" w:fill="FFFFFF"/>
              </w:rPr>
            </w:pPr>
          </w:p>
        </w:tc>
        <w:tc>
          <w:tcPr>
            <w:tcW w:w="318" w:type="pct"/>
            <w:vMerge/>
            <w:vAlign w:val="center"/>
          </w:tcPr>
          <w:p w:rsidR="00373E14" w:rsidRPr="00373E14" w:rsidRDefault="00373E14" w:rsidP="00373E14">
            <w:pPr>
              <w:rPr>
                <w:rFonts w:ascii="Book Antiqua" w:hAnsi="Book Antiqua"/>
                <w:bCs/>
                <w:sz w:val="16"/>
                <w:szCs w:val="16"/>
                <w:shd w:val="clear" w:color="auto" w:fill="FFFFFF"/>
              </w:rPr>
            </w:pPr>
          </w:p>
        </w:tc>
      </w:tr>
      <w:tr w:rsidR="00373E14" w:rsidRPr="00373E14" w:rsidTr="00340097">
        <w:trPr>
          <w:trHeight w:val="648"/>
        </w:trPr>
        <w:tc>
          <w:tcPr>
            <w:tcW w:w="751" w:type="pct"/>
            <w:vMerge/>
            <w:vAlign w:val="center"/>
          </w:tcPr>
          <w:p w:rsidR="00373E14" w:rsidRPr="00373E14" w:rsidRDefault="00373E14" w:rsidP="00373E14">
            <w:pPr>
              <w:spacing w:line="276" w:lineRule="auto"/>
              <w:jc w:val="both"/>
              <w:rPr>
                <w:rFonts w:ascii="Book Antiqua" w:hAnsi="Book Antiqua"/>
                <w:bCs/>
                <w:sz w:val="16"/>
                <w:szCs w:val="16"/>
                <w:highlight w:val="yellow"/>
                <w:shd w:val="clear" w:color="auto" w:fill="FFFFFF"/>
              </w:rPr>
            </w:pP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Transfert monétaires et Distribution de kits alimentaires spécifiques pour les femmes victimes de violences sexuelles et autres maltraitances dans la zone métropolitaine</w:t>
            </w:r>
          </w:p>
        </w:tc>
        <w:tc>
          <w:tcPr>
            <w:tcW w:w="1078" w:type="pct"/>
            <w:shd w:val="clear" w:color="auto" w:fill="auto"/>
            <w:vAlign w:val="center"/>
          </w:tcPr>
          <w:p w:rsidR="00373E14" w:rsidRPr="00373E14" w:rsidRDefault="00373E14" w:rsidP="00373E14">
            <w:pPr>
              <w:rPr>
                <w:rFonts w:ascii="Book Antiqua" w:hAnsi="Book Antiqua"/>
                <w:color w:val="000000" w:themeColor="text1"/>
                <w:sz w:val="16"/>
                <w:szCs w:val="16"/>
                <w:shd w:val="clear" w:color="auto" w:fill="FFFFFF"/>
              </w:rPr>
            </w:pPr>
            <w:r w:rsidRPr="00373E14">
              <w:rPr>
                <w:rFonts w:ascii="Book Antiqua" w:hAnsi="Book Antiqua"/>
                <w:color w:val="000000" w:themeColor="text1"/>
                <w:sz w:val="16"/>
                <w:szCs w:val="16"/>
                <w:shd w:val="clear" w:color="auto" w:fill="FFFFFF"/>
              </w:rPr>
              <w:t xml:space="preserve">3 887 femmes vulnérables </w:t>
            </w:r>
          </w:p>
        </w:tc>
        <w:tc>
          <w:tcPr>
            <w:tcW w:w="698" w:type="pct"/>
            <w:vMerge/>
            <w:vAlign w:val="center"/>
          </w:tcPr>
          <w:p w:rsidR="00373E14" w:rsidRPr="00373E14" w:rsidRDefault="00373E14" w:rsidP="00373E14">
            <w:pPr>
              <w:rPr>
                <w:rFonts w:ascii="Book Antiqua" w:hAnsi="Book Antiqua"/>
                <w:bCs/>
                <w:sz w:val="16"/>
                <w:szCs w:val="16"/>
                <w:shd w:val="clear" w:color="auto" w:fill="FFFFFF"/>
              </w:rPr>
            </w:pPr>
          </w:p>
        </w:tc>
        <w:tc>
          <w:tcPr>
            <w:tcW w:w="318" w:type="pct"/>
            <w:vMerge/>
            <w:vAlign w:val="center"/>
          </w:tcPr>
          <w:p w:rsidR="00373E14" w:rsidRPr="00373E14" w:rsidRDefault="00373E14" w:rsidP="00373E14">
            <w:pPr>
              <w:rPr>
                <w:rFonts w:ascii="Book Antiqua" w:hAnsi="Book Antiqua"/>
                <w:bCs/>
                <w:sz w:val="16"/>
                <w:szCs w:val="16"/>
                <w:shd w:val="clear" w:color="auto" w:fill="FFFFFF"/>
              </w:rPr>
            </w:pPr>
          </w:p>
        </w:tc>
      </w:tr>
      <w:tr w:rsidR="00373E14" w:rsidRPr="00373E14" w:rsidTr="00340097">
        <w:trPr>
          <w:trHeight w:val="80"/>
        </w:trPr>
        <w:tc>
          <w:tcPr>
            <w:tcW w:w="751" w:type="pct"/>
            <w:vMerge/>
            <w:vAlign w:val="center"/>
          </w:tcPr>
          <w:p w:rsidR="00373E14" w:rsidRPr="00373E14" w:rsidRDefault="00373E14" w:rsidP="00373E14">
            <w:pPr>
              <w:spacing w:line="276" w:lineRule="auto"/>
              <w:jc w:val="both"/>
              <w:rPr>
                <w:rFonts w:ascii="Book Antiqua" w:hAnsi="Book Antiqua"/>
                <w:bCs/>
                <w:sz w:val="16"/>
                <w:szCs w:val="16"/>
                <w:highlight w:val="yellow"/>
                <w:shd w:val="clear" w:color="auto" w:fill="FFFFFF"/>
              </w:rPr>
            </w:pP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 xml:space="preserve">Formation en cosmétologie/ Support loyer/Bourses scolaires/Kits scolaires </w:t>
            </w:r>
          </w:p>
        </w:tc>
        <w:tc>
          <w:tcPr>
            <w:tcW w:w="1078" w:type="pct"/>
            <w:vAlign w:val="center"/>
          </w:tcPr>
          <w:p w:rsidR="00373E14" w:rsidRPr="00373E14" w:rsidRDefault="00373E14" w:rsidP="00373E14">
            <w:pPr>
              <w:rPr>
                <w:rFonts w:ascii="Book Antiqua" w:hAnsi="Book Antiqua"/>
                <w:color w:val="000000" w:themeColor="text1"/>
                <w:sz w:val="16"/>
                <w:szCs w:val="16"/>
                <w:shd w:val="clear" w:color="auto" w:fill="FFFFFF"/>
              </w:rPr>
            </w:pPr>
            <w:r w:rsidRPr="00373E14">
              <w:rPr>
                <w:rFonts w:ascii="Book Antiqua" w:hAnsi="Book Antiqua"/>
                <w:color w:val="000000" w:themeColor="text1"/>
                <w:sz w:val="16"/>
                <w:szCs w:val="16"/>
                <w:shd w:val="clear" w:color="auto" w:fill="FFFFFF"/>
              </w:rPr>
              <w:t>708 femmes vulnérables</w:t>
            </w:r>
          </w:p>
        </w:tc>
        <w:tc>
          <w:tcPr>
            <w:tcW w:w="698" w:type="pct"/>
            <w:vMerge/>
            <w:vAlign w:val="center"/>
          </w:tcPr>
          <w:p w:rsidR="00373E14" w:rsidRPr="00373E14" w:rsidRDefault="00373E14" w:rsidP="00373E14">
            <w:pPr>
              <w:rPr>
                <w:rFonts w:ascii="Book Antiqua" w:hAnsi="Book Antiqua"/>
                <w:bCs/>
                <w:sz w:val="16"/>
                <w:szCs w:val="16"/>
                <w:shd w:val="clear" w:color="auto" w:fill="FFFFFF"/>
              </w:rPr>
            </w:pPr>
          </w:p>
        </w:tc>
        <w:tc>
          <w:tcPr>
            <w:tcW w:w="318" w:type="pct"/>
            <w:vMerge/>
            <w:vAlign w:val="center"/>
          </w:tcPr>
          <w:p w:rsidR="00373E14" w:rsidRPr="00373E14" w:rsidRDefault="00373E14" w:rsidP="00373E14">
            <w:pPr>
              <w:rPr>
                <w:rFonts w:ascii="Book Antiqua" w:hAnsi="Book Antiqua"/>
                <w:bCs/>
                <w:sz w:val="16"/>
                <w:szCs w:val="16"/>
                <w:shd w:val="clear" w:color="auto" w:fill="FFFFFF"/>
              </w:rPr>
            </w:pPr>
          </w:p>
        </w:tc>
      </w:tr>
      <w:tr w:rsidR="00373E14" w:rsidRPr="00373E14" w:rsidTr="00340097">
        <w:trPr>
          <w:trHeight w:val="576"/>
        </w:trPr>
        <w:tc>
          <w:tcPr>
            <w:tcW w:w="751" w:type="pct"/>
            <w:vMerge/>
            <w:vAlign w:val="center"/>
          </w:tcPr>
          <w:p w:rsidR="00373E14" w:rsidRPr="00373E14" w:rsidRDefault="00373E14" w:rsidP="00373E14">
            <w:pPr>
              <w:spacing w:line="276" w:lineRule="auto"/>
              <w:jc w:val="both"/>
              <w:rPr>
                <w:rFonts w:ascii="Book Antiqua" w:hAnsi="Book Antiqua"/>
                <w:b/>
                <w:bCs/>
                <w:sz w:val="16"/>
                <w:szCs w:val="16"/>
                <w:highlight w:val="yellow"/>
                <w:shd w:val="clear" w:color="auto" w:fill="FFFFFF"/>
              </w:rPr>
            </w:pP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Appui à la prise en charge des cas de choléra</w:t>
            </w:r>
          </w:p>
        </w:tc>
        <w:tc>
          <w:tcPr>
            <w:tcW w:w="1078" w:type="pct"/>
            <w:vAlign w:val="center"/>
          </w:tcPr>
          <w:p w:rsidR="00373E14" w:rsidRPr="00373E14" w:rsidRDefault="00373E14" w:rsidP="00373E14">
            <w:pPr>
              <w:rPr>
                <w:rFonts w:ascii="Book Antiqua" w:hAnsi="Book Antiqua"/>
                <w:color w:val="000000" w:themeColor="text1"/>
                <w:sz w:val="16"/>
                <w:szCs w:val="16"/>
                <w:shd w:val="clear" w:color="auto" w:fill="FFFFFF"/>
              </w:rPr>
            </w:pPr>
            <w:r w:rsidRPr="00373E14">
              <w:rPr>
                <w:rFonts w:ascii="Book Antiqua" w:hAnsi="Book Antiqua"/>
                <w:color w:val="000000" w:themeColor="text1"/>
                <w:sz w:val="16"/>
                <w:szCs w:val="16"/>
                <w:shd w:val="clear" w:color="auto" w:fill="FFFFFF"/>
              </w:rPr>
              <w:t>11 personnes vulnérables</w:t>
            </w:r>
          </w:p>
        </w:tc>
        <w:tc>
          <w:tcPr>
            <w:tcW w:w="698" w:type="pct"/>
            <w:vMerge/>
            <w:vAlign w:val="center"/>
          </w:tcPr>
          <w:p w:rsidR="00373E14" w:rsidRPr="00373E14" w:rsidRDefault="00373E14" w:rsidP="00373E14">
            <w:pPr>
              <w:rPr>
                <w:rFonts w:ascii="Book Antiqua" w:hAnsi="Book Antiqua"/>
                <w:bCs/>
                <w:sz w:val="16"/>
                <w:szCs w:val="16"/>
                <w:shd w:val="clear" w:color="auto" w:fill="FFFFFF"/>
              </w:rPr>
            </w:pPr>
          </w:p>
        </w:tc>
        <w:tc>
          <w:tcPr>
            <w:tcW w:w="318" w:type="pct"/>
            <w:vMerge/>
            <w:vAlign w:val="center"/>
          </w:tcPr>
          <w:p w:rsidR="00373E14" w:rsidRPr="00373E14" w:rsidRDefault="00373E14" w:rsidP="00373E14">
            <w:pPr>
              <w:rPr>
                <w:rFonts w:ascii="Book Antiqua" w:hAnsi="Book Antiqua"/>
                <w:bCs/>
                <w:sz w:val="16"/>
                <w:szCs w:val="16"/>
                <w:shd w:val="clear" w:color="auto" w:fill="FFFFFF"/>
              </w:rPr>
            </w:pPr>
          </w:p>
        </w:tc>
      </w:tr>
      <w:tr w:rsidR="00373E14" w:rsidRPr="00373E14" w:rsidTr="00340097">
        <w:trPr>
          <w:trHeight w:val="476"/>
        </w:trPr>
        <w:tc>
          <w:tcPr>
            <w:tcW w:w="751" w:type="pct"/>
            <w:vAlign w:val="center"/>
          </w:tcPr>
          <w:p w:rsidR="00373E14" w:rsidRPr="00373E14" w:rsidRDefault="00373E14" w:rsidP="00373E14">
            <w:pPr>
              <w:spacing w:line="276" w:lineRule="auto"/>
              <w:jc w:val="both"/>
              <w:rPr>
                <w:rFonts w:ascii="Book Antiqua" w:hAnsi="Book Antiqua"/>
                <w:b/>
                <w:bCs/>
                <w:sz w:val="16"/>
                <w:szCs w:val="16"/>
                <w:shd w:val="clear" w:color="auto" w:fill="FFFFFF"/>
              </w:rPr>
            </w:pPr>
            <w:r w:rsidRPr="00373E14">
              <w:rPr>
                <w:rFonts w:ascii="Book Antiqua" w:hAnsi="Book Antiqua"/>
                <w:b/>
                <w:bCs/>
                <w:sz w:val="16"/>
                <w:szCs w:val="16"/>
                <w:shd w:val="clear" w:color="auto" w:fill="FFFFFF"/>
              </w:rPr>
              <w:t>Programme de Structuration Territoriale et de Développement (Trésor Public)</w:t>
            </w: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 xml:space="preserve">Réhabilitation de la plage publique Laissez-moi de </w:t>
            </w:r>
            <w:proofErr w:type="spellStart"/>
            <w:r w:rsidRPr="00373E14">
              <w:rPr>
                <w:rFonts w:ascii="Book Antiqua" w:hAnsi="Book Antiqua"/>
                <w:sz w:val="16"/>
                <w:szCs w:val="16"/>
              </w:rPr>
              <w:t>Miragoâne</w:t>
            </w:r>
            <w:proofErr w:type="spellEnd"/>
            <w:r w:rsidRPr="00373E14">
              <w:rPr>
                <w:rFonts w:ascii="Book Antiqua" w:hAnsi="Book Antiqua"/>
                <w:sz w:val="16"/>
                <w:szCs w:val="16"/>
              </w:rPr>
              <w:t xml:space="preserve"> / 64% ;</w:t>
            </w:r>
          </w:p>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 xml:space="preserve">Construction d’une place publique à Carcasse (Les </w:t>
            </w:r>
            <w:proofErr w:type="spellStart"/>
            <w:r w:rsidRPr="00373E14">
              <w:rPr>
                <w:rFonts w:ascii="Book Antiqua" w:hAnsi="Book Antiqua"/>
                <w:sz w:val="16"/>
                <w:szCs w:val="16"/>
              </w:rPr>
              <w:t>Irois</w:t>
            </w:r>
            <w:proofErr w:type="spellEnd"/>
            <w:r w:rsidRPr="00373E14">
              <w:rPr>
                <w:rFonts w:ascii="Book Antiqua" w:hAnsi="Book Antiqua"/>
                <w:sz w:val="16"/>
                <w:szCs w:val="16"/>
              </w:rPr>
              <w:t>) / Réceptionné provisoirement ;</w:t>
            </w:r>
          </w:p>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Construction du Lycée nationale de Plaisance du sud (Nippes, Phase 1) / 76% ;</w:t>
            </w:r>
          </w:p>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 xml:space="preserve">Construction d’un impluvium à </w:t>
            </w:r>
            <w:proofErr w:type="spellStart"/>
            <w:r w:rsidRPr="00373E14">
              <w:rPr>
                <w:rFonts w:ascii="Book Antiqua" w:hAnsi="Book Antiqua"/>
                <w:sz w:val="16"/>
                <w:szCs w:val="16"/>
              </w:rPr>
              <w:t>Dimoi</w:t>
            </w:r>
            <w:proofErr w:type="spellEnd"/>
            <w:r w:rsidRPr="00373E14">
              <w:rPr>
                <w:rFonts w:ascii="Book Antiqua" w:hAnsi="Book Antiqua"/>
                <w:sz w:val="16"/>
                <w:szCs w:val="16"/>
              </w:rPr>
              <w:t xml:space="preserve"> (Beaumont) / Réceptionné provisoirement</w:t>
            </w:r>
          </w:p>
        </w:tc>
        <w:tc>
          <w:tcPr>
            <w:tcW w:w="1078" w:type="pct"/>
            <w:vAlign w:val="center"/>
          </w:tcPr>
          <w:p w:rsidR="00373E14" w:rsidRPr="00373E14" w:rsidRDefault="00373E14" w:rsidP="00373E14">
            <w:pPr>
              <w:numPr>
                <w:ilvl w:val="0"/>
                <w:numId w:val="1"/>
              </w:numPr>
              <w:spacing w:line="276" w:lineRule="auto"/>
              <w:ind w:left="260" w:hanging="180"/>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4 Communes (2 Nippes et 2 Grand-Anse).</w:t>
            </w:r>
          </w:p>
        </w:tc>
        <w:tc>
          <w:tcPr>
            <w:tcW w:w="698" w:type="pct"/>
            <w:vAlign w:val="center"/>
          </w:tcPr>
          <w:p w:rsidR="00373E14" w:rsidRPr="00373E14" w:rsidRDefault="00373E14" w:rsidP="00373E14">
            <w:pPr>
              <w:rPr>
                <w:rFonts w:ascii="Book Antiqua" w:eastAsia="Times New Roman" w:hAnsi="Book Antiqua" w:cs="Times New Roman"/>
                <w:bCs/>
                <w:sz w:val="16"/>
                <w:szCs w:val="16"/>
              </w:rPr>
            </w:pPr>
            <w:r w:rsidRPr="00373E14">
              <w:rPr>
                <w:rFonts w:ascii="Book Antiqua" w:eastAsia="Times New Roman" w:hAnsi="Book Antiqua" w:cs="Calibri"/>
                <w:sz w:val="16"/>
                <w:szCs w:val="16"/>
              </w:rPr>
              <w:t xml:space="preserve">14,402,859.33 </w:t>
            </w:r>
          </w:p>
        </w:tc>
        <w:tc>
          <w:tcPr>
            <w:tcW w:w="318" w:type="pct"/>
            <w:vAlign w:val="center"/>
          </w:tcPr>
          <w:p w:rsidR="00373E14" w:rsidRPr="00373E14" w:rsidRDefault="00373E14" w:rsidP="00373E14">
            <w:pPr>
              <w:rPr>
                <w:rFonts w:ascii="Book Antiqua" w:eastAsia="Times New Roman" w:hAnsi="Book Antiqua" w:cs="Calibri"/>
                <w:sz w:val="16"/>
                <w:szCs w:val="16"/>
              </w:rPr>
            </w:pPr>
            <w:r w:rsidRPr="00373E14">
              <w:rPr>
                <w:rFonts w:ascii="Book Antiqua" w:eastAsia="Times New Roman" w:hAnsi="Book Antiqua" w:cs="Calibri"/>
                <w:sz w:val="16"/>
                <w:szCs w:val="16"/>
              </w:rPr>
              <w:t>HTG</w:t>
            </w:r>
          </w:p>
        </w:tc>
      </w:tr>
      <w:tr w:rsidR="00373E14" w:rsidRPr="00373E14" w:rsidTr="00340097">
        <w:trPr>
          <w:trHeight w:val="476"/>
        </w:trPr>
        <w:tc>
          <w:tcPr>
            <w:tcW w:w="751" w:type="pct"/>
            <w:vAlign w:val="center"/>
          </w:tcPr>
          <w:p w:rsidR="00373E14" w:rsidRPr="00373E14" w:rsidRDefault="00373E14" w:rsidP="00373E14">
            <w:pPr>
              <w:spacing w:line="276" w:lineRule="auto"/>
              <w:jc w:val="both"/>
              <w:rPr>
                <w:rFonts w:ascii="Book Antiqua" w:hAnsi="Book Antiqua"/>
                <w:b/>
                <w:bCs/>
                <w:sz w:val="16"/>
                <w:szCs w:val="16"/>
                <w:shd w:val="clear" w:color="auto" w:fill="FFFFFF"/>
              </w:rPr>
            </w:pPr>
            <w:r w:rsidRPr="00373E14">
              <w:rPr>
                <w:rFonts w:ascii="Book Antiqua" w:hAnsi="Book Antiqua"/>
                <w:b/>
                <w:bCs/>
                <w:sz w:val="16"/>
                <w:szCs w:val="16"/>
                <w:shd w:val="clear" w:color="auto" w:fill="FFFFFF"/>
              </w:rPr>
              <w:t>Programme de Rénovation des Pôles Régionaux et Locaux de Développement (PRPRLD)</w:t>
            </w:r>
          </w:p>
        </w:tc>
        <w:tc>
          <w:tcPr>
            <w:tcW w:w="2154" w:type="pct"/>
            <w:vAlign w:val="center"/>
          </w:tcPr>
          <w:p w:rsidR="00373E14" w:rsidRPr="00373E14" w:rsidRDefault="00373E14" w:rsidP="00373E14">
            <w:pPr>
              <w:numPr>
                <w:ilvl w:val="0"/>
                <w:numId w:val="1"/>
              </w:numPr>
              <w:spacing w:line="276" w:lineRule="auto"/>
              <w:ind w:left="260" w:hanging="180"/>
              <w:jc w:val="both"/>
              <w:rPr>
                <w:rFonts w:ascii="Book Antiqua" w:hAnsi="Book Antiqua"/>
                <w:sz w:val="16"/>
                <w:szCs w:val="16"/>
              </w:rPr>
            </w:pPr>
            <w:r w:rsidRPr="00373E14">
              <w:rPr>
                <w:rFonts w:ascii="Book Antiqua" w:hAnsi="Book Antiqua"/>
                <w:sz w:val="16"/>
                <w:szCs w:val="16"/>
              </w:rPr>
              <w:t xml:space="preserve">Réception provisoire du projet de Construction de l’école de formation technique (Limbé) </w:t>
            </w:r>
          </w:p>
        </w:tc>
        <w:tc>
          <w:tcPr>
            <w:tcW w:w="1078" w:type="pct"/>
            <w:vAlign w:val="center"/>
          </w:tcPr>
          <w:p w:rsidR="00373E14" w:rsidRPr="00373E14" w:rsidRDefault="00373E14" w:rsidP="00373E14">
            <w:pPr>
              <w:numPr>
                <w:ilvl w:val="0"/>
                <w:numId w:val="1"/>
              </w:numPr>
              <w:spacing w:line="276" w:lineRule="auto"/>
              <w:ind w:left="260" w:hanging="180"/>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Commune de Limbé du Département du Nord</w:t>
            </w:r>
          </w:p>
        </w:tc>
        <w:tc>
          <w:tcPr>
            <w:tcW w:w="698" w:type="pct"/>
            <w:vAlign w:val="center"/>
          </w:tcPr>
          <w:p w:rsidR="00373E14" w:rsidRPr="00373E14" w:rsidRDefault="00373E14" w:rsidP="00373E14">
            <w:pPr>
              <w:spacing w:line="276" w:lineRule="auto"/>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 xml:space="preserve">5,198,137.22 </w:t>
            </w:r>
          </w:p>
        </w:tc>
        <w:tc>
          <w:tcPr>
            <w:tcW w:w="318" w:type="pct"/>
            <w:vAlign w:val="center"/>
          </w:tcPr>
          <w:p w:rsidR="00373E14" w:rsidRPr="00373E14" w:rsidRDefault="00373E14" w:rsidP="00373E14">
            <w:pPr>
              <w:spacing w:line="276" w:lineRule="auto"/>
              <w:ind w:left="80"/>
              <w:jc w:val="both"/>
              <w:rPr>
                <w:rFonts w:ascii="Book Antiqua" w:hAnsi="Book Antiqua"/>
                <w:bCs/>
                <w:sz w:val="16"/>
                <w:szCs w:val="16"/>
                <w:shd w:val="clear" w:color="auto" w:fill="FFFFFF"/>
              </w:rPr>
            </w:pPr>
            <w:r w:rsidRPr="00373E14">
              <w:rPr>
                <w:rFonts w:ascii="Book Antiqua" w:hAnsi="Book Antiqua"/>
                <w:bCs/>
                <w:sz w:val="16"/>
                <w:szCs w:val="16"/>
                <w:shd w:val="clear" w:color="auto" w:fill="FFFFFF"/>
              </w:rPr>
              <w:t>HTG</w:t>
            </w:r>
          </w:p>
        </w:tc>
      </w:tr>
    </w:tbl>
    <w:p w:rsidR="00A95A27" w:rsidRDefault="00A95A27"/>
    <w:sectPr w:rsidR="00A95A27" w:rsidSect="00753D8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3FAA" w:rsidRDefault="00A33FAA" w:rsidP="00373E14">
      <w:pPr>
        <w:spacing w:after="0" w:line="240" w:lineRule="auto"/>
      </w:pPr>
      <w:r>
        <w:separator/>
      </w:r>
    </w:p>
  </w:endnote>
  <w:endnote w:type="continuationSeparator" w:id="0">
    <w:p w:rsidR="00A33FAA" w:rsidRDefault="00A33FAA" w:rsidP="00373E14">
      <w:pPr>
        <w:spacing w:after="0" w:line="240" w:lineRule="auto"/>
      </w:pPr>
      <w:r>
        <w:continuationSeparator/>
      </w:r>
    </w:p>
  </w:endnote>
  <w:endnote w:id="1">
    <w:p w:rsidR="00373E14" w:rsidRPr="00423466" w:rsidRDefault="00373E14" w:rsidP="00373E14">
      <w:pPr>
        <w:pStyle w:val="FootnoteText"/>
      </w:pPr>
      <w:r>
        <w:rPr>
          <w:rStyle w:val="EndnoteReference"/>
        </w:rPr>
        <w:endnoteRef/>
      </w:r>
      <w:r w:rsidRPr="00423466">
        <w:t>Veuillez noter : Ce rapport se veut un simple résumé pour le grand public sur les principales activités du FAES. Il ne représente pas un rapport détaillé et final des activités. Pour plus de renseignements ou de détails, veuillez contacter le FAES : contact@faes.gouv.ht</w:t>
      </w:r>
    </w:p>
    <w:p w:rsidR="00373E14" w:rsidRPr="00AC497F" w:rsidRDefault="00373E14" w:rsidP="00373E1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3FAA" w:rsidRDefault="00A33FAA" w:rsidP="00373E14">
      <w:pPr>
        <w:spacing w:after="0" w:line="240" w:lineRule="auto"/>
      </w:pPr>
      <w:r>
        <w:separator/>
      </w:r>
    </w:p>
  </w:footnote>
  <w:footnote w:type="continuationSeparator" w:id="0">
    <w:p w:rsidR="00A33FAA" w:rsidRDefault="00A33FAA" w:rsidP="00373E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F85DB3"/>
    <w:multiLevelType w:val="hybridMultilevel"/>
    <w:tmpl w:val="FF46BFAA"/>
    <w:lvl w:ilvl="0" w:tplc="5CAA4088">
      <w:start w:val="1"/>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411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E14"/>
    <w:rsid w:val="00373E14"/>
    <w:rsid w:val="00753D86"/>
    <w:rsid w:val="0099688E"/>
    <w:rsid w:val="009A1E83"/>
    <w:rsid w:val="00A33FAA"/>
    <w:rsid w:val="00A95A27"/>
    <w:rsid w:val="00AE768B"/>
    <w:rsid w:val="00C27E7C"/>
    <w:rsid w:val="00F66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6E772"/>
  <w15:chartTrackingRefBased/>
  <w15:docId w15:val="{3B329A3B-1744-45A6-9ACE-5B42ED985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3E14"/>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73E1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373E14"/>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73E14"/>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73E14"/>
    <w:rPr>
      <w:rFonts w:ascii="Times New Roman" w:eastAsia="Times New Roman" w:hAnsi="Times New Roman" w:cs="Times New Roman"/>
      <w:sz w:val="20"/>
      <w:szCs w:val="20"/>
      <w:lang w:val="fr-FR"/>
    </w:rPr>
  </w:style>
  <w:style w:type="character" w:styleId="EndnoteReference">
    <w:name w:val="endnote reference"/>
    <w:basedOn w:val="DefaultParagraphFont"/>
    <w:uiPriority w:val="99"/>
    <w:semiHidden/>
    <w:unhideWhenUsed/>
    <w:rsid w:val="00373E14"/>
    <w:rPr>
      <w:vertAlign w:val="superscript"/>
    </w:rPr>
  </w:style>
  <w:style w:type="paragraph" w:styleId="ListParagraph">
    <w:name w:val="List Paragraph"/>
    <w:basedOn w:val="Normal"/>
    <w:uiPriority w:val="34"/>
    <w:qFormat/>
    <w:rsid w:val="00C27E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92B67-DF16-CB43-9A8D-0780631D5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Communication FAES</cp:lastModifiedBy>
  <cp:revision>2</cp:revision>
  <dcterms:created xsi:type="dcterms:W3CDTF">2023-11-03T16:10:00Z</dcterms:created>
  <dcterms:modified xsi:type="dcterms:W3CDTF">2023-11-03T16:10:00Z</dcterms:modified>
</cp:coreProperties>
</file>